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317CF" w14:textId="1F5F9C52" w:rsidR="00C533EA" w:rsidRPr="000559FF" w:rsidRDefault="006112FE" w:rsidP="002677D2">
      <w:pPr>
        <w:spacing w:after="0"/>
        <w:jc w:val="center"/>
        <w:rPr>
          <w:rFonts w:cs="Times New Roman"/>
          <w:b/>
          <w:sz w:val="36"/>
          <w:szCs w:val="24"/>
          <w:lang w:val="en-GB"/>
        </w:rPr>
      </w:pPr>
      <w:bookmarkStart w:id="0" w:name="_Hlk493743345"/>
      <w:r w:rsidRPr="000559FF">
        <w:rPr>
          <w:rFonts w:cs="Times New Roman"/>
          <w:b/>
          <w:sz w:val="36"/>
          <w:szCs w:val="24"/>
          <w:lang w:val="en-GB"/>
        </w:rPr>
        <w:t xml:space="preserve">Findings of the </w:t>
      </w:r>
      <w:r w:rsidR="002677D2" w:rsidRPr="000559FF">
        <w:rPr>
          <w:rFonts w:cs="Times New Roman"/>
          <w:b/>
          <w:sz w:val="36"/>
          <w:szCs w:val="24"/>
          <w:lang w:val="en-GB"/>
        </w:rPr>
        <w:t>SCHR Peer R</w:t>
      </w:r>
      <w:r w:rsidR="00C533EA" w:rsidRPr="000559FF">
        <w:rPr>
          <w:rFonts w:cs="Times New Roman"/>
          <w:b/>
          <w:sz w:val="36"/>
          <w:szCs w:val="24"/>
          <w:lang w:val="en-GB"/>
        </w:rPr>
        <w:t xml:space="preserve">eview </w:t>
      </w:r>
      <w:r w:rsidR="002677D2" w:rsidRPr="000559FF">
        <w:rPr>
          <w:rFonts w:cs="Times New Roman"/>
          <w:b/>
          <w:sz w:val="36"/>
          <w:szCs w:val="24"/>
          <w:lang w:val="en-GB"/>
        </w:rPr>
        <w:t>on Participation</w:t>
      </w:r>
    </w:p>
    <w:p w14:paraId="5E5544C0" w14:textId="20A564E4" w:rsidR="002677D2" w:rsidRPr="000559FF" w:rsidRDefault="002677D2" w:rsidP="006E05CB">
      <w:pPr>
        <w:jc w:val="center"/>
        <w:rPr>
          <w:rFonts w:cs="Times New Roman"/>
          <w:b/>
          <w:sz w:val="36"/>
          <w:szCs w:val="24"/>
          <w:lang w:val="en-GB"/>
        </w:rPr>
      </w:pPr>
      <w:r w:rsidRPr="000559FF">
        <w:rPr>
          <w:rFonts w:cs="Times New Roman"/>
          <w:b/>
          <w:sz w:val="36"/>
          <w:szCs w:val="24"/>
          <w:lang w:val="en-GB"/>
        </w:rPr>
        <w:t>Northern Uganda and Kurdistan</w:t>
      </w:r>
      <w:r w:rsidR="009670CF" w:rsidRPr="000559FF">
        <w:rPr>
          <w:rFonts w:cs="Times New Roman"/>
          <w:b/>
          <w:sz w:val="36"/>
          <w:szCs w:val="24"/>
          <w:lang w:val="en-GB"/>
        </w:rPr>
        <w:t xml:space="preserve"> Region of</w:t>
      </w:r>
      <w:r w:rsidRPr="000559FF">
        <w:rPr>
          <w:rFonts w:cs="Times New Roman"/>
          <w:b/>
          <w:sz w:val="36"/>
          <w:szCs w:val="24"/>
          <w:lang w:val="en-GB"/>
        </w:rPr>
        <w:t xml:space="preserve"> Iraq</w:t>
      </w:r>
    </w:p>
    <w:p w14:paraId="083B70F7" w14:textId="591B8F71" w:rsidR="00EB4EA8" w:rsidRPr="000559FF" w:rsidRDefault="00E71E43" w:rsidP="006E05CB">
      <w:pPr>
        <w:jc w:val="center"/>
        <w:rPr>
          <w:rFonts w:cs="Times New Roman"/>
          <w:b/>
          <w:sz w:val="36"/>
          <w:szCs w:val="24"/>
          <w:lang w:val="en-GB"/>
        </w:rPr>
      </w:pPr>
      <w:r w:rsidRPr="000559FF">
        <w:rPr>
          <w:rFonts w:cs="Times New Roman"/>
          <w:b/>
          <w:sz w:val="36"/>
          <w:szCs w:val="24"/>
          <w:lang w:val="en-GB"/>
        </w:rPr>
        <w:t>18-</w:t>
      </w:r>
      <w:r w:rsidR="00EB4EA8" w:rsidRPr="000559FF">
        <w:rPr>
          <w:rFonts w:cs="Times New Roman"/>
          <w:b/>
          <w:sz w:val="36"/>
          <w:szCs w:val="24"/>
          <w:lang w:val="en-GB"/>
        </w:rPr>
        <w:t>21</w:t>
      </w:r>
      <w:r w:rsidR="00EB4EA8" w:rsidRPr="000559FF">
        <w:rPr>
          <w:rFonts w:cs="Times New Roman"/>
          <w:b/>
          <w:sz w:val="36"/>
          <w:szCs w:val="24"/>
          <w:vertAlign w:val="superscript"/>
          <w:lang w:val="en-GB"/>
        </w:rPr>
        <w:t xml:space="preserve"> </w:t>
      </w:r>
      <w:r w:rsidR="00EB4EA8" w:rsidRPr="000559FF">
        <w:rPr>
          <w:rFonts w:cs="Times New Roman"/>
          <w:b/>
          <w:sz w:val="36"/>
          <w:szCs w:val="24"/>
          <w:lang w:val="en-GB"/>
        </w:rPr>
        <w:t>September 2017</w:t>
      </w:r>
    </w:p>
    <w:p w14:paraId="115AC602" w14:textId="77777777" w:rsidR="00285291" w:rsidRPr="000559FF" w:rsidRDefault="00285291" w:rsidP="00285291">
      <w:pPr>
        <w:spacing w:after="0"/>
        <w:jc w:val="center"/>
        <w:rPr>
          <w:rFonts w:cs="Times New Roman"/>
          <w:b/>
          <w:sz w:val="24"/>
          <w:szCs w:val="24"/>
          <w:lang w:val="en-GB"/>
        </w:rPr>
      </w:pPr>
    </w:p>
    <w:p w14:paraId="48B8D2F6" w14:textId="3F9C9294" w:rsidR="00285291" w:rsidRPr="000559FF" w:rsidRDefault="002701AC" w:rsidP="002701AC">
      <w:pPr>
        <w:spacing w:after="0"/>
        <w:jc w:val="right"/>
        <w:rPr>
          <w:rFonts w:cs="Helvetica"/>
          <w:b/>
          <w:bCs/>
          <w:sz w:val="24"/>
          <w:lang w:val="en-GB"/>
        </w:rPr>
      </w:pPr>
      <w:r w:rsidRPr="000559FF">
        <w:rPr>
          <w:rFonts w:cs="Helvetica"/>
          <w:b/>
          <w:bCs/>
          <w:sz w:val="24"/>
          <w:lang w:val="en-GB"/>
        </w:rPr>
        <w:t>Bonaventure Gbétoho Sokpoh, Groupe URD</w:t>
      </w:r>
      <w:r w:rsidR="00285291" w:rsidRPr="000559FF">
        <w:rPr>
          <w:rFonts w:cs="Helvetica"/>
          <w:b/>
          <w:bCs/>
          <w:sz w:val="24"/>
          <w:lang w:val="en-GB"/>
        </w:rPr>
        <w:t xml:space="preserve"> and Kate Halff, SCHR</w:t>
      </w:r>
    </w:p>
    <w:p w14:paraId="74B01A5E" w14:textId="3101C688" w:rsidR="00285291" w:rsidRPr="000559FF" w:rsidRDefault="00285291" w:rsidP="002701AC">
      <w:pPr>
        <w:spacing w:after="0"/>
        <w:jc w:val="right"/>
        <w:rPr>
          <w:rFonts w:eastAsiaTheme="majorEastAsia" w:cs="Times New Roman"/>
          <w:b/>
          <w:bCs/>
          <w:sz w:val="24"/>
          <w:lang w:val="en-GB"/>
        </w:rPr>
      </w:pPr>
      <w:r w:rsidRPr="000559FF">
        <w:rPr>
          <w:rFonts w:cs="Helvetica"/>
          <w:b/>
          <w:bCs/>
          <w:sz w:val="24"/>
          <w:lang w:val="en-GB"/>
        </w:rPr>
        <w:t>October 2017</w:t>
      </w:r>
    </w:p>
    <w:p w14:paraId="533A462B" w14:textId="77777777" w:rsidR="009670CF" w:rsidRPr="000559FF" w:rsidRDefault="009670CF" w:rsidP="00A7709A">
      <w:pPr>
        <w:spacing w:after="0"/>
        <w:rPr>
          <w:rFonts w:ascii="Times New Roman" w:hAnsi="Times New Roman" w:cs="Times New Roman"/>
          <w:b/>
          <w:bCs/>
          <w:lang w:val="en-GB"/>
        </w:rPr>
      </w:pPr>
    </w:p>
    <w:p w14:paraId="6EEFD9BF" w14:textId="321BC709" w:rsidR="00AF01FA" w:rsidRPr="000559FF" w:rsidRDefault="00442974" w:rsidP="00A7709A">
      <w:pPr>
        <w:pStyle w:val="Heading1"/>
        <w:keepNext/>
        <w:keepLines/>
        <w:numPr>
          <w:ilvl w:val="0"/>
          <w:numId w:val="4"/>
        </w:numPr>
        <w:spacing w:before="240" w:beforeAutospacing="0" w:after="240" w:afterAutospacing="0" w:line="259" w:lineRule="auto"/>
        <w:rPr>
          <w:rFonts w:asciiTheme="minorHAnsi" w:eastAsiaTheme="majorEastAsia" w:hAnsiTheme="minorHAnsi"/>
          <w:bCs w:val="0"/>
          <w:kern w:val="0"/>
          <w:sz w:val="22"/>
          <w:szCs w:val="22"/>
          <w:lang w:val="en-GB" w:eastAsia="en-US"/>
        </w:rPr>
      </w:pPr>
      <w:bookmarkStart w:id="1" w:name="_Toc494950946"/>
      <w:r w:rsidRPr="000559FF">
        <w:rPr>
          <w:rFonts w:asciiTheme="minorHAnsi" w:eastAsiaTheme="majorEastAsia" w:hAnsiTheme="minorHAnsi"/>
          <w:bCs w:val="0"/>
          <w:kern w:val="0"/>
          <w:sz w:val="22"/>
          <w:szCs w:val="22"/>
          <w:lang w:val="en-GB" w:eastAsia="en-US"/>
        </w:rPr>
        <w:t>INTRODUCTION</w:t>
      </w:r>
      <w:bookmarkEnd w:id="1"/>
    </w:p>
    <w:p w14:paraId="028157D2" w14:textId="77777777" w:rsidR="00B928BA" w:rsidRPr="000559FF" w:rsidRDefault="00B928BA" w:rsidP="00A7709A">
      <w:pPr>
        <w:rPr>
          <w:rFonts w:cs="Times New Roman"/>
          <w:bCs/>
          <w:lang w:val="en-GB"/>
        </w:rPr>
      </w:pPr>
      <w:r w:rsidRPr="000559FF">
        <w:rPr>
          <w:rFonts w:cs="Times New Roman"/>
          <w:bCs/>
          <w:lang w:val="en-GB"/>
        </w:rPr>
        <w:t xml:space="preserve">This report presents the findings from the peer review of participation practices undertaken by the SCHR Working Group </w:t>
      </w:r>
      <w:r w:rsidR="00157765" w:rsidRPr="000559FF">
        <w:rPr>
          <w:rFonts w:cs="Times New Roman"/>
          <w:bCs/>
          <w:lang w:val="en-GB"/>
        </w:rPr>
        <w:t xml:space="preserve">as part of SCHR organisations’ collaboration on an </w:t>
      </w:r>
      <w:r w:rsidRPr="000559FF">
        <w:rPr>
          <w:rFonts w:cs="Times New Roman"/>
          <w:bCs/>
          <w:lang w:val="en-GB"/>
        </w:rPr>
        <w:t xml:space="preserve">agenda to meet the following goal: </w:t>
      </w:r>
    </w:p>
    <w:p w14:paraId="3712C844" w14:textId="77777777" w:rsidR="00B928BA" w:rsidRPr="000559FF" w:rsidRDefault="00B928BA" w:rsidP="00A7709A">
      <w:pPr>
        <w:rPr>
          <w:rFonts w:cs="Times New Roman"/>
          <w:b/>
          <w:bCs/>
          <w:lang w:val="en-GB"/>
        </w:rPr>
      </w:pPr>
      <w:r w:rsidRPr="000559FF">
        <w:rPr>
          <w:rFonts w:cs="Times New Roman"/>
          <w:b/>
          <w:bCs/>
          <w:lang w:val="en-GB"/>
        </w:rPr>
        <w:t>In 5 years-time, participation of people affected by crisis in humanitarian response decisions that concern them has become a concrete reality. SCHR will make this happen by demonstrating and communicating best practice, strategies and approaches.</w:t>
      </w:r>
    </w:p>
    <w:p w14:paraId="66999C4A" w14:textId="01430BA5" w:rsidR="00442974" w:rsidRPr="000559FF" w:rsidRDefault="00157765" w:rsidP="00A7709A">
      <w:pPr>
        <w:rPr>
          <w:rFonts w:cstheme="minorHAnsi"/>
          <w:lang w:val="en-GB"/>
        </w:rPr>
      </w:pPr>
      <w:r w:rsidRPr="000559FF">
        <w:rPr>
          <w:lang w:val="en-GB"/>
        </w:rPr>
        <w:t xml:space="preserve">This peer review comes in complement to the </w:t>
      </w:r>
      <w:r w:rsidRPr="000559FF">
        <w:rPr>
          <w:rFonts w:cstheme="minorHAnsi"/>
          <w:lang w:val="en-GB"/>
        </w:rPr>
        <w:t>desk overview of participation practices, based on SCHR organisations’ C</w:t>
      </w:r>
      <w:r w:rsidR="00FC5B21" w:rsidRPr="000559FF">
        <w:rPr>
          <w:rFonts w:cstheme="minorHAnsi"/>
          <w:lang w:val="en-GB"/>
        </w:rPr>
        <w:t xml:space="preserve">ore </w:t>
      </w:r>
      <w:r w:rsidRPr="000559FF">
        <w:rPr>
          <w:rFonts w:cstheme="minorHAnsi"/>
          <w:lang w:val="en-GB"/>
        </w:rPr>
        <w:t>H</w:t>
      </w:r>
      <w:r w:rsidR="00FC5B21" w:rsidRPr="000559FF">
        <w:rPr>
          <w:rFonts w:cstheme="minorHAnsi"/>
          <w:lang w:val="en-GB"/>
        </w:rPr>
        <w:t xml:space="preserve">umanitarian </w:t>
      </w:r>
      <w:r w:rsidRPr="000559FF">
        <w:rPr>
          <w:rFonts w:cstheme="minorHAnsi"/>
          <w:lang w:val="en-GB"/>
        </w:rPr>
        <w:t>S</w:t>
      </w:r>
      <w:r w:rsidR="00FC5B21" w:rsidRPr="000559FF">
        <w:rPr>
          <w:rFonts w:cstheme="minorHAnsi"/>
          <w:lang w:val="en-GB"/>
        </w:rPr>
        <w:t>tandard</w:t>
      </w:r>
      <w:r w:rsidRPr="000559FF">
        <w:rPr>
          <w:rFonts w:cstheme="minorHAnsi"/>
          <w:lang w:val="en-GB"/>
        </w:rPr>
        <w:t xml:space="preserve"> </w:t>
      </w:r>
      <w:r w:rsidR="00FC5B21" w:rsidRPr="000559FF">
        <w:rPr>
          <w:rFonts w:cstheme="minorHAnsi"/>
          <w:lang w:val="en-GB"/>
        </w:rPr>
        <w:t xml:space="preserve">(CHS) </w:t>
      </w:r>
      <w:r w:rsidRPr="000559FF">
        <w:rPr>
          <w:rFonts w:cstheme="minorHAnsi"/>
          <w:lang w:val="en-GB"/>
        </w:rPr>
        <w:t>assessments, specific relevant studies and / or R</w:t>
      </w:r>
      <w:r w:rsidR="00FC5B21" w:rsidRPr="000559FF">
        <w:rPr>
          <w:rFonts w:cstheme="minorHAnsi"/>
          <w:lang w:val="en-GB"/>
        </w:rPr>
        <w:t xml:space="preserve">eal </w:t>
      </w:r>
      <w:r w:rsidRPr="000559FF">
        <w:rPr>
          <w:rFonts w:cstheme="minorHAnsi"/>
          <w:lang w:val="en-GB"/>
        </w:rPr>
        <w:t>T</w:t>
      </w:r>
      <w:r w:rsidR="00FC5B21" w:rsidRPr="000559FF">
        <w:rPr>
          <w:rFonts w:cstheme="minorHAnsi"/>
          <w:lang w:val="en-GB"/>
        </w:rPr>
        <w:t xml:space="preserve">ime </w:t>
      </w:r>
      <w:r w:rsidRPr="000559FF">
        <w:rPr>
          <w:rFonts w:cstheme="minorHAnsi"/>
          <w:lang w:val="en-GB"/>
        </w:rPr>
        <w:t>E</w:t>
      </w:r>
      <w:r w:rsidR="00FC5B21" w:rsidRPr="000559FF">
        <w:rPr>
          <w:rFonts w:cstheme="minorHAnsi"/>
          <w:lang w:val="en-GB"/>
        </w:rPr>
        <w:t>valuations</w:t>
      </w:r>
      <w:r w:rsidRPr="000559FF">
        <w:rPr>
          <w:rFonts w:cstheme="minorHAnsi"/>
          <w:lang w:val="en-GB"/>
        </w:rPr>
        <w:t xml:space="preserve"> and M</w:t>
      </w:r>
      <w:r w:rsidR="007C081B" w:rsidRPr="000559FF">
        <w:rPr>
          <w:rFonts w:cstheme="minorHAnsi"/>
          <w:lang w:val="en-GB"/>
        </w:rPr>
        <w:t xml:space="preserve">onitoring </w:t>
      </w:r>
      <w:r w:rsidRPr="000559FF">
        <w:rPr>
          <w:rFonts w:cstheme="minorHAnsi"/>
          <w:lang w:val="en-GB"/>
        </w:rPr>
        <w:t>E</w:t>
      </w:r>
      <w:r w:rsidR="007C081B" w:rsidRPr="000559FF">
        <w:rPr>
          <w:rFonts w:cstheme="minorHAnsi"/>
          <w:lang w:val="en-GB"/>
        </w:rPr>
        <w:t xml:space="preserve">valuation </w:t>
      </w:r>
      <w:r w:rsidRPr="000559FF">
        <w:rPr>
          <w:rFonts w:cstheme="minorHAnsi"/>
          <w:lang w:val="en-GB"/>
        </w:rPr>
        <w:t>A</w:t>
      </w:r>
      <w:r w:rsidR="007C081B" w:rsidRPr="000559FF">
        <w:rPr>
          <w:rFonts w:cstheme="minorHAnsi"/>
          <w:lang w:val="en-GB"/>
        </w:rPr>
        <w:t xml:space="preserve">ccountability and </w:t>
      </w:r>
      <w:r w:rsidRPr="000559FF">
        <w:rPr>
          <w:rFonts w:cstheme="minorHAnsi"/>
          <w:lang w:val="en-GB"/>
        </w:rPr>
        <w:t>L</w:t>
      </w:r>
      <w:r w:rsidR="007C081B" w:rsidRPr="000559FF">
        <w:rPr>
          <w:rFonts w:cstheme="minorHAnsi"/>
          <w:lang w:val="en-GB"/>
        </w:rPr>
        <w:t xml:space="preserve">earning (MEAL) </w:t>
      </w:r>
      <w:r w:rsidRPr="000559FF">
        <w:rPr>
          <w:rFonts w:cstheme="minorHAnsi"/>
          <w:lang w:val="en-GB"/>
        </w:rPr>
        <w:t>reports, published in July 2017</w:t>
      </w:r>
      <w:r w:rsidR="002D6A06" w:rsidRPr="000559FF">
        <w:rPr>
          <w:rFonts w:cstheme="minorHAnsi"/>
          <w:lang w:val="en-GB"/>
        </w:rPr>
        <w:t xml:space="preserve">. </w:t>
      </w:r>
      <w:r w:rsidR="002D6A06" w:rsidRPr="000559FF">
        <w:rPr>
          <w:rFonts w:cstheme="minorHAnsi"/>
          <w:b/>
          <w:lang w:val="en-GB"/>
        </w:rPr>
        <w:t xml:space="preserve">Its aim is to achieve </w:t>
      </w:r>
      <w:r w:rsidRPr="000559FF">
        <w:rPr>
          <w:rFonts w:cstheme="minorHAnsi"/>
          <w:b/>
          <w:lang w:val="en-GB"/>
        </w:rPr>
        <w:t xml:space="preserve">an understanding of SCHR organisations’ current approaches and of actual enablers and </w:t>
      </w:r>
      <w:r w:rsidR="004F3BD3">
        <w:rPr>
          <w:rFonts w:cstheme="minorHAnsi"/>
          <w:b/>
          <w:lang w:val="en-GB"/>
        </w:rPr>
        <w:t>disenablers</w:t>
      </w:r>
      <w:r w:rsidRPr="000559FF">
        <w:rPr>
          <w:rFonts w:cstheme="minorHAnsi"/>
          <w:b/>
          <w:lang w:val="en-GB"/>
        </w:rPr>
        <w:t xml:space="preserve"> of effective participation.</w:t>
      </w:r>
      <w:r w:rsidRPr="000559FF">
        <w:rPr>
          <w:rFonts w:cstheme="minorHAnsi"/>
          <w:lang w:val="en-GB"/>
        </w:rPr>
        <w:t xml:space="preserve"> </w:t>
      </w:r>
      <w:r w:rsidR="002D6A06" w:rsidRPr="000559FF">
        <w:rPr>
          <w:rFonts w:ascii="Calibri" w:hAnsi="Calibri" w:cs="Calibri"/>
          <w:color w:val="000000"/>
          <w:lang w:val="en-GB"/>
        </w:rPr>
        <w:t>It also brings in questions related to needs analyses, which underpin the Programme Cycle, and cash-based programming, generally considered as a potential “game changer” in terms of participation, to better understand how these can reinforce effective participation.</w:t>
      </w:r>
    </w:p>
    <w:p w14:paraId="5DC8F9C7" w14:textId="2DFBAD5A" w:rsidR="00157765" w:rsidRPr="000559FF" w:rsidRDefault="00434017" w:rsidP="00A7709A">
      <w:pPr>
        <w:rPr>
          <w:rFonts w:cstheme="minorHAnsi"/>
          <w:lang w:val="en-GB"/>
        </w:rPr>
      </w:pPr>
      <w:r w:rsidRPr="000559FF">
        <w:rPr>
          <w:rFonts w:ascii="Calibri" w:hAnsi="Calibri" w:cs="Calibri"/>
          <w:color w:val="000000"/>
          <w:lang w:val="en-GB"/>
        </w:rPr>
        <w:t>It is anticipated that t</w:t>
      </w:r>
      <w:r w:rsidR="0017284E" w:rsidRPr="000559FF">
        <w:rPr>
          <w:rFonts w:ascii="Calibri" w:hAnsi="Calibri" w:cs="Calibri"/>
          <w:color w:val="000000"/>
          <w:lang w:val="en-GB"/>
        </w:rPr>
        <w:t xml:space="preserve">he findings from both the desk overview and the peer review </w:t>
      </w:r>
      <w:r w:rsidR="00442974" w:rsidRPr="000559FF">
        <w:rPr>
          <w:rFonts w:ascii="Calibri" w:hAnsi="Calibri" w:cs="Calibri"/>
          <w:color w:val="000000"/>
          <w:lang w:val="en-GB"/>
        </w:rPr>
        <w:t xml:space="preserve">will </w:t>
      </w:r>
      <w:r w:rsidR="00157765" w:rsidRPr="000559FF">
        <w:rPr>
          <w:rFonts w:cstheme="minorHAnsi"/>
          <w:lang w:val="en-GB"/>
        </w:rPr>
        <w:t xml:space="preserve">Inform each of SCHR’s organisations’ work towards effective participation of affected people in </w:t>
      </w:r>
      <w:r w:rsidRPr="000559FF">
        <w:rPr>
          <w:rFonts w:cstheme="minorHAnsi"/>
          <w:lang w:val="en-GB"/>
        </w:rPr>
        <w:t xml:space="preserve">humanitarian </w:t>
      </w:r>
      <w:r w:rsidR="00157765" w:rsidRPr="000559FF">
        <w:rPr>
          <w:rFonts w:cstheme="minorHAnsi"/>
          <w:lang w:val="en-GB"/>
        </w:rPr>
        <w:t>decision</w:t>
      </w:r>
      <w:r w:rsidR="00442974" w:rsidRPr="000559FF">
        <w:rPr>
          <w:rFonts w:cstheme="minorHAnsi"/>
          <w:lang w:val="en-GB"/>
        </w:rPr>
        <w:t>s and actions which affect them</w:t>
      </w:r>
      <w:r w:rsidR="0017284E" w:rsidRPr="000559FF">
        <w:rPr>
          <w:rFonts w:cstheme="minorHAnsi"/>
          <w:lang w:val="en-GB"/>
        </w:rPr>
        <w:t xml:space="preserve">. It will also </w:t>
      </w:r>
      <w:r w:rsidR="00442974" w:rsidRPr="000559FF">
        <w:rPr>
          <w:rFonts w:cstheme="minorHAnsi"/>
          <w:lang w:val="en-GB"/>
        </w:rPr>
        <w:t>p</w:t>
      </w:r>
      <w:r w:rsidR="00157765" w:rsidRPr="000559FF">
        <w:rPr>
          <w:rFonts w:cstheme="minorHAnsi"/>
          <w:lang w:val="en-GB"/>
        </w:rPr>
        <w:t xml:space="preserve">rovide the basis from which to move forward on </w:t>
      </w:r>
      <w:r w:rsidR="00442974" w:rsidRPr="000559FF">
        <w:rPr>
          <w:rFonts w:cstheme="minorHAnsi"/>
          <w:lang w:val="en-GB"/>
        </w:rPr>
        <w:t xml:space="preserve">SCHR’s collective </w:t>
      </w:r>
      <w:r w:rsidR="00157765" w:rsidRPr="000559FF">
        <w:rPr>
          <w:rFonts w:cstheme="minorHAnsi"/>
          <w:lang w:val="en-GB"/>
        </w:rPr>
        <w:t xml:space="preserve">participation agenda, as </w:t>
      </w:r>
      <w:r w:rsidR="00442974" w:rsidRPr="000559FF">
        <w:rPr>
          <w:rFonts w:cstheme="minorHAnsi"/>
          <w:lang w:val="en-GB"/>
        </w:rPr>
        <w:t>its members</w:t>
      </w:r>
      <w:r w:rsidR="00157765" w:rsidRPr="000559FF">
        <w:rPr>
          <w:rFonts w:cstheme="minorHAnsi"/>
          <w:lang w:val="en-GB"/>
        </w:rPr>
        <w:t xml:space="preserve"> understand critical questions and issues better. </w:t>
      </w:r>
    </w:p>
    <w:p w14:paraId="02234088" w14:textId="77777777" w:rsidR="00383898" w:rsidRPr="000559FF" w:rsidRDefault="00383898" w:rsidP="00A7709A">
      <w:pPr>
        <w:pStyle w:val="Heading1"/>
        <w:keepNext/>
        <w:keepLines/>
        <w:numPr>
          <w:ilvl w:val="0"/>
          <w:numId w:val="4"/>
        </w:numPr>
        <w:spacing w:before="240" w:beforeAutospacing="0" w:after="240" w:afterAutospacing="0" w:line="259" w:lineRule="auto"/>
        <w:rPr>
          <w:rFonts w:asciiTheme="minorHAnsi" w:eastAsiaTheme="majorEastAsia" w:hAnsiTheme="minorHAnsi"/>
          <w:bCs w:val="0"/>
          <w:kern w:val="0"/>
          <w:sz w:val="22"/>
          <w:szCs w:val="22"/>
          <w:lang w:val="en-GB" w:eastAsia="en-US"/>
        </w:rPr>
      </w:pPr>
      <w:bookmarkStart w:id="2" w:name="_Toc494950947"/>
      <w:r w:rsidRPr="000559FF">
        <w:rPr>
          <w:rFonts w:asciiTheme="minorHAnsi" w:eastAsiaTheme="majorEastAsia" w:hAnsiTheme="minorHAnsi"/>
          <w:bCs w:val="0"/>
          <w:kern w:val="0"/>
          <w:sz w:val="22"/>
          <w:szCs w:val="22"/>
          <w:lang w:val="en-GB" w:eastAsia="en-US"/>
        </w:rPr>
        <w:t>APPROACH AND SCOPE</w:t>
      </w:r>
      <w:bookmarkEnd w:id="2"/>
    </w:p>
    <w:p w14:paraId="1D6F50D7" w14:textId="77777777" w:rsidR="00442974" w:rsidRPr="000559FF" w:rsidRDefault="00442974" w:rsidP="00A7709A">
      <w:pPr>
        <w:spacing w:after="0" w:line="240" w:lineRule="auto"/>
        <w:rPr>
          <w:rFonts w:eastAsia="Times New Roman" w:cs="Times New Roman"/>
          <w:b/>
          <w:lang w:val="en-GB"/>
        </w:rPr>
      </w:pPr>
      <w:r w:rsidRPr="000559FF">
        <w:rPr>
          <w:rFonts w:eastAsia="Times New Roman" w:cs="Times New Roman"/>
          <w:b/>
          <w:lang w:val="en-GB"/>
        </w:rPr>
        <w:t>Methodology</w:t>
      </w:r>
    </w:p>
    <w:p w14:paraId="4AE1F6A5" w14:textId="0EEFFD3D" w:rsidR="0017284E" w:rsidRPr="000559FF" w:rsidRDefault="0017284E" w:rsidP="0017284E">
      <w:pPr>
        <w:rPr>
          <w:rFonts w:ascii="Calibri" w:hAnsi="Calibri" w:cs="Calibri"/>
          <w:color w:val="000000"/>
          <w:lang w:val="en-GB"/>
        </w:rPr>
      </w:pPr>
      <w:r w:rsidRPr="000559FF">
        <w:rPr>
          <w:rFonts w:cstheme="minorHAnsi"/>
          <w:lang w:val="en-GB"/>
        </w:rPr>
        <w:t>The peer review was carried out in two contexts</w:t>
      </w:r>
      <w:r w:rsidRPr="000559FF">
        <w:rPr>
          <w:rStyle w:val="FootnoteReference"/>
          <w:rFonts w:ascii="Calibri" w:hAnsi="Calibri" w:cs="Calibri"/>
          <w:color w:val="000000"/>
          <w:lang w:val="en-GB"/>
        </w:rPr>
        <w:footnoteReference w:id="1"/>
      </w:r>
      <w:r w:rsidRPr="000559FF">
        <w:rPr>
          <w:rFonts w:cstheme="minorHAnsi"/>
          <w:lang w:val="en-GB"/>
        </w:rPr>
        <w:t>, northern Uganda and the Kurdistan Region of Iraq, to enable some degree of comparative analysis. Nevertheless, the fact that each is characterised by camp-like settlements hosting either refugees (northern Uganda) or refugees and IDPs (Kurdistan Region of Iraq)</w:t>
      </w:r>
      <w:r w:rsidRPr="000559FF">
        <w:rPr>
          <w:rFonts w:ascii="Calibri" w:hAnsi="Calibri" w:cs="Calibri"/>
          <w:color w:val="000000"/>
          <w:lang w:val="en-GB"/>
        </w:rPr>
        <w:t xml:space="preserve"> means that its findings should not be </w:t>
      </w:r>
      <w:r w:rsidR="00434017" w:rsidRPr="000559FF">
        <w:rPr>
          <w:rFonts w:ascii="Calibri" w:hAnsi="Calibri" w:cs="Calibri"/>
          <w:color w:val="000000"/>
          <w:lang w:val="en-GB"/>
        </w:rPr>
        <w:t xml:space="preserve">necessarily </w:t>
      </w:r>
      <w:r w:rsidRPr="000559FF">
        <w:rPr>
          <w:rFonts w:ascii="Calibri" w:hAnsi="Calibri" w:cs="Calibri"/>
          <w:color w:val="000000"/>
          <w:lang w:val="en-GB"/>
        </w:rPr>
        <w:t xml:space="preserve">extrapolated to all contexts.  </w:t>
      </w:r>
    </w:p>
    <w:p w14:paraId="055B9E82" w14:textId="6E664EB5" w:rsidR="00285291" w:rsidRPr="000559FF" w:rsidRDefault="00383898" w:rsidP="00A7709A">
      <w:pPr>
        <w:spacing w:after="0" w:line="240" w:lineRule="auto"/>
        <w:rPr>
          <w:rFonts w:eastAsia="Times New Roman" w:cs="Times New Roman"/>
          <w:lang w:val="en-GB"/>
        </w:rPr>
      </w:pPr>
      <w:r w:rsidRPr="000559FF">
        <w:rPr>
          <w:rFonts w:eastAsia="Times New Roman" w:cs="Times New Roman"/>
          <w:lang w:val="en-GB"/>
        </w:rPr>
        <w:t xml:space="preserve">The peer review methodology </w:t>
      </w:r>
      <w:r w:rsidR="00442974" w:rsidRPr="000559FF">
        <w:rPr>
          <w:rFonts w:eastAsia="Times New Roman" w:cs="Times New Roman"/>
          <w:lang w:val="en-GB"/>
        </w:rPr>
        <w:t>was</w:t>
      </w:r>
      <w:r w:rsidRPr="000559FF">
        <w:rPr>
          <w:rFonts w:eastAsia="Times New Roman" w:cs="Times New Roman"/>
          <w:lang w:val="en-GB"/>
        </w:rPr>
        <w:t xml:space="preserve"> grounded in a guided dialogue </w:t>
      </w:r>
      <w:r w:rsidR="00434017" w:rsidRPr="000559FF">
        <w:rPr>
          <w:rFonts w:eastAsia="Times New Roman" w:cs="Times New Roman"/>
          <w:lang w:val="en-GB"/>
        </w:rPr>
        <w:t xml:space="preserve">with staff and / or partners of organisations being reviewed on </w:t>
      </w:r>
      <w:r w:rsidRPr="000559FF">
        <w:rPr>
          <w:rFonts w:eastAsia="Times New Roman" w:cs="Times New Roman"/>
          <w:lang w:val="en-GB"/>
        </w:rPr>
        <w:t xml:space="preserve">key components of “participation” throughout the project cycle. In </w:t>
      </w:r>
      <w:r w:rsidRPr="000559FF">
        <w:rPr>
          <w:rFonts w:eastAsia="Times New Roman" w:cs="Times New Roman"/>
          <w:lang w:val="en-GB"/>
        </w:rPr>
        <w:lastRenderedPageBreak/>
        <w:t>addition, it included</w:t>
      </w:r>
      <w:r w:rsidR="0017284E" w:rsidRPr="000559FF">
        <w:rPr>
          <w:rFonts w:eastAsia="Times New Roman" w:cs="Times New Roman"/>
          <w:lang w:val="en-GB"/>
        </w:rPr>
        <w:t>,</w:t>
      </w:r>
      <w:r w:rsidRPr="000559FF">
        <w:rPr>
          <w:rFonts w:eastAsia="Times New Roman" w:cs="Times New Roman"/>
          <w:lang w:val="en-GB"/>
        </w:rPr>
        <w:t xml:space="preserve"> where possible</w:t>
      </w:r>
      <w:r w:rsidR="0017284E" w:rsidRPr="000559FF">
        <w:rPr>
          <w:rFonts w:eastAsia="Times New Roman" w:cs="Times New Roman"/>
          <w:lang w:val="en-GB"/>
        </w:rPr>
        <w:t>,</w:t>
      </w:r>
      <w:r w:rsidRPr="000559FF">
        <w:rPr>
          <w:rFonts w:eastAsia="Times New Roman" w:cs="Times New Roman"/>
          <w:lang w:val="en-GB"/>
        </w:rPr>
        <w:t xml:space="preserve"> focus group discussions with staff across-organisations, either expert or directly involved in programming, on issues related to cash programming and to protection. A limited number of focus group discussions were also held with some of the people being targeted for humanitarian assistance by one or several of the organisations reviewed, to get their perspective on their participation in decision – making on humanitarian programming. </w:t>
      </w:r>
      <w:r w:rsidR="007E0E79" w:rsidRPr="000559FF">
        <w:rPr>
          <w:rFonts w:eastAsia="Times New Roman" w:cs="Times New Roman"/>
          <w:lang w:val="en-GB"/>
        </w:rPr>
        <w:t>Annex 1 presents the itinerary of each mission, as well as people met.</w:t>
      </w:r>
      <w:r w:rsidR="00285291" w:rsidRPr="000559FF">
        <w:rPr>
          <w:rFonts w:eastAsia="Times New Roman" w:cs="Times New Roman"/>
          <w:lang w:val="en-GB"/>
        </w:rPr>
        <w:t xml:space="preserve"> </w:t>
      </w:r>
    </w:p>
    <w:p w14:paraId="41515BE3" w14:textId="77777777" w:rsidR="00285291" w:rsidRPr="000559FF" w:rsidRDefault="00285291" w:rsidP="00A7709A">
      <w:pPr>
        <w:spacing w:after="0" w:line="240" w:lineRule="auto"/>
        <w:rPr>
          <w:rFonts w:eastAsia="Times New Roman" w:cs="Times New Roman"/>
          <w:lang w:val="en-GB"/>
        </w:rPr>
      </w:pPr>
    </w:p>
    <w:p w14:paraId="434A015D" w14:textId="1A1C0460" w:rsidR="007E0E79" w:rsidRPr="000559FF" w:rsidRDefault="007E0E79" w:rsidP="00A7709A">
      <w:pPr>
        <w:spacing w:after="0" w:line="240" w:lineRule="auto"/>
        <w:rPr>
          <w:rFonts w:eastAsia="Times New Roman" w:cs="Times New Roman"/>
          <w:lang w:val="en-GB"/>
        </w:rPr>
      </w:pPr>
      <w:r w:rsidRPr="000559FF">
        <w:rPr>
          <w:rFonts w:eastAsia="Times New Roman" w:cs="Times New Roman"/>
          <w:lang w:val="en-GB"/>
        </w:rPr>
        <w:t xml:space="preserve">Both peer review teams </w:t>
      </w:r>
      <w:r w:rsidR="0017284E" w:rsidRPr="000559FF">
        <w:rPr>
          <w:rFonts w:eastAsia="Times New Roman" w:cs="Times New Roman"/>
          <w:lang w:val="en-GB"/>
        </w:rPr>
        <w:t xml:space="preserve">shared </w:t>
      </w:r>
      <w:r w:rsidRPr="000559FF">
        <w:rPr>
          <w:rFonts w:eastAsia="Times New Roman" w:cs="Times New Roman"/>
          <w:lang w:val="en-GB"/>
        </w:rPr>
        <w:t>their findings upon return and agreed on the overall findings which are presented in this report. A summary of mission specific findings is presented in Annex 2 and 3.</w:t>
      </w:r>
    </w:p>
    <w:p w14:paraId="092317B8" w14:textId="77777777" w:rsidR="00383898" w:rsidRPr="000559FF" w:rsidRDefault="007E0E79" w:rsidP="00A7709A">
      <w:pPr>
        <w:spacing w:after="0" w:line="240" w:lineRule="auto"/>
        <w:rPr>
          <w:rFonts w:eastAsia="Times New Roman" w:cs="Times New Roman"/>
          <w:lang w:val="en-GB"/>
        </w:rPr>
      </w:pPr>
      <w:r w:rsidRPr="000559FF" w:rsidDel="007E0E79">
        <w:rPr>
          <w:rFonts w:eastAsia="Times New Roman" w:cs="Times New Roman"/>
          <w:color w:val="1F497D"/>
          <w:lang w:val="en-GB" w:eastAsia="en-GB"/>
        </w:rPr>
        <w:t xml:space="preserve"> </w:t>
      </w:r>
    </w:p>
    <w:p w14:paraId="22519389" w14:textId="77777777" w:rsidR="00442974" w:rsidRPr="000559FF" w:rsidRDefault="00442974" w:rsidP="00A7709A">
      <w:pPr>
        <w:spacing w:after="0" w:line="240" w:lineRule="auto"/>
        <w:rPr>
          <w:rFonts w:eastAsia="Times New Roman" w:cs="Times New Roman"/>
          <w:b/>
          <w:lang w:val="en-GB"/>
        </w:rPr>
      </w:pPr>
      <w:r w:rsidRPr="000559FF">
        <w:rPr>
          <w:rFonts w:eastAsia="Times New Roman" w:cs="Times New Roman"/>
          <w:b/>
          <w:lang w:val="en-GB"/>
        </w:rPr>
        <w:t>Peer review: participants and organisations reviewed</w:t>
      </w:r>
    </w:p>
    <w:p w14:paraId="2E95B042" w14:textId="77777777" w:rsidR="00383898" w:rsidRPr="000559FF" w:rsidRDefault="00383898" w:rsidP="00A7709A">
      <w:pPr>
        <w:spacing w:after="0" w:line="240" w:lineRule="auto"/>
        <w:rPr>
          <w:rFonts w:eastAsia="Times New Roman" w:cs="Times New Roman"/>
          <w:lang w:val="en-GB"/>
        </w:rPr>
      </w:pPr>
      <w:r w:rsidRPr="000559FF">
        <w:rPr>
          <w:rFonts w:eastAsia="Times New Roman" w:cs="Times New Roman"/>
          <w:lang w:val="en-GB"/>
        </w:rPr>
        <w:t xml:space="preserve">The northern Uganda SCHR peer review team was comprised of the Head of Policy of the IFRC, the Global Humanitarian Coordinator of LWF, the Humanitarian Directors of Oxfam and Save the Children and Groupe URD’s Evaluator and Researcher, contracted to support the peer review. </w:t>
      </w:r>
      <w:r w:rsidR="00B928BA" w:rsidRPr="000559FF">
        <w:rPr>
          <w:rFonts w:eastAsia="Times New Roman" w:cs="Times New Roman"/>
          <w:lang w:val="en-GB"/>
        </w:rPr>
        <w:t xml:space="preserve">Organisations reviewed in northern Uganda included </w:t>
      </w:r>
      <w:r w:rsidRPr="000559FF">
        <w:rPr>
          <w:rFonts w:eastAsia="Times New Roman" w:cs="Times New Roman"/>
          <w:lang w:val="en-GB"/>
        </w:rPr>
        <w:t xml:space="preserve">LWF, Oxfam, Save the Children and the Ugandan Red Cross, in relation to their work with South Sudanese refugee populations. </w:t>
      </w:r>
    </w:p>
    <w:p w14:paraId="3F97A460" w14:textId="77777777" w:rsidR="00B928BA" w:rsidRPr="000559FF" w:rsidRDefault="00B928BA" w:rsidP="00A7709A">
      <w:pPr>
        <w:spacing w:after="0" w:line="240" w:lineRule="auto"/>
        <w:rPr>
          <w:rFonts w:eastAsia="Times New Roman" w:cs="Times New Roman"/>
          <w:lang w:val="en-GB"/>
        </w:rPr>
      </w:pPr>
    </w:p>
    <w:p w14:paraId="3789CCE5" w14:textId="77777777" w:rsidR="00B928BA" w:rsidRPr="000559FF" w:rsidRDefault="00B928BA" w:rsidP="00A7709A">
      <w:pPr>
        <w:spacing w:after="0" w:line="240" w:lineRule="auto"/>
        <w:rPr>
          <w:rFonts w:eastAsia="Times New Roman" w:cs="Times New Roman"/>
          <w:lang w:val="en-GB"/>
        </w:rPr>
      </w:pPr>
      <w:r w:rsidRPr="000559FF">
        <w:rPr>
          <w:rFonts w:eastAsia="Times New Roman" w:cs="Times New Roman"/>
          <w:lang w:val="en-GB"/>
        </w:rPr>
        <w:t xml:space="preserve">The Kurdistan Region of Iraq SCHR peer review team was comprised of the Act Alliance Head of Strategy and Partnerships, the CARE International and CARITAS Internationalis Humanitarian Directors, the ICRC Gender and Diversity Advisor, the World Vision International Senior Director for External Engagement and Resource Development and the SCHR Executive Secretary. Organisations reviewed in the KRI included CARE, CRS and WV in relation to their work with Internally Displaced People and Syrian refugee populations. </w:t>
      </w:r>
    </w:p>
    <w:p w14:paraId="3C8634C0" w14:textId="77777777" w:rsidR="00B928BA" w:rsidRPr="000559FF" w:rsidRDefault="00B928BA" w:rsidP="00A7709A">
      <w:pPr>
        <w:spacing w:after="0" w:line="240" w:lineRule="auto"/>
        <w:rPr>
          <w:rFonts w:eastAsia="Times New Roman" w:cs="Times New Roman"/>
          <w:lang w:val="en-GB"/>
        </w:rPr>
      </w:pPr>
    </w:p>
    <w:p w14:paraId="03A26F23" w14:textId="6C227D3C" w:rsidR="007C081B" w:rsidRPr="000559FF" w:rsidRDefault="007C081B" w:rsidP="00A7709A">
      <w:pPr>
        <w:spacing w:after="0" w:line="240" w:lineRule="auto"/>
        <w:rPr>
          <w:rFonts w:eastAsia="Times New Roman" w:cs="Times New Roman"/>
          <w:lang w:val="en-GB"/>
        </w:rPr>
      </w:pPr>
      <w:r w:rsidRPr="000559FF">
        <w:rPr>
          <w:rFonts w:eastAsia="Times New Roman" w:cs="Times New Roman"/>
          <w:lang w:val="en-GB"/>
        </w:rPr>
        <w:t>Both teams are extremely grateful to the country programmes</w:t>
      </w:r>
      <w:r w:rsidR="0079128C">
        <w:rPr>
          <w:rFonts w:eastAsia="Times New Roman" w:cs="Times New Roman"/>
          <w:lang w:val="en-GB"/>
        </w:rPr>
        <w:t xml:space="preserve">, </w:t>
      </w:r>
      <w:r w:rsidR="003F0DB0" w:rsidRPr="000559FF">
        <w:rPr>
          <w:rFonts w:eastAsia="Times New Roman" w:cs="Times New Roman"/>
          <w:lang w:val="en-GB"/>
        </w:rPr>
        <w:t>their</w:t>
      </w:r>
      <w:r w:rsidRPr="000559FF">
        <w:rPr>
          <w:rFonts w:eastAsia="Times New Roman" w:cs="Times New Roman"/>
          <w:lang w:val="en-GB"/>
        </w:rPr>
        <w:t xml:space="preserve"> dedicated staff</w:t>
      </w:r>
      <w:r w:rsidR="0079128C">
        <w:rPr>
          <w:rFonts w:eastAsia="Times New Roman" w:cs="Times New Roman"/>
          <w:lang w:val="en-GB"/>
        </w:rPr>
        <w:t xml:space="preserve"> and that of their partners</w:t>
      </w:r>
      <w:r w:rsidRPr="000559FF">
        <w:rPr>
          <w:rFonts w:eastAsia="Times New Roman" w:cs="Times New Roman"/>
          <w:lang w:val="en-GB"/>
        </w:rPr>
        <w:t xml:space="preserve"> without whom their missions would not have been possible.  </w:t>
      </w:r>
    </w:p>
    <w:p w14:paraId="098E4CD6" w14:textId="77777777" w:rsidR="007C081B" w:rsidRPr="000559FF" w:rsidRDefault="007C081B" w:rsidP="00A7709A">
      <w:pPr>
        <w:spacing w:after="0" w:line="240" w:lineRule="auto"/>
        <w:rPr>
          <w:rFonts w:eastAsia="Times New Roman" w:cs="Times New Roman"/>
          <w:lang w:val="en-GB"/>
        </w:rPr>
      </w:pPr>
    </w:p>
    <w:p w14:paraId="33266D48" w14:textId="77777777" w:rsidR="00383898" w:rsidRPr="000559FF" w:rsidRDefault="00383898" w:rsidP="00A7709A">
      <w:pPr>
        <w:spacing w:after="0"/>
        <w:rPr>
          <w:rFonts w:cs="Times New Roman"/>
          <w:b/>
          <w:bCs/>
          <w:color w:val="000000"/>
          <w:lang w:val="en-GB"/>
        </w:rPr>
      </w:pPr>
      <w:r w:rsidRPr="000559FF">
        <w:rPr>
          <w:rFonts w:cs="Times New Roman"/>
          <w:b/>
          <w:bCs/>
          <w:color w:val="000000"/>
          <w:lang w:val="en-GB"/>
        </w:rPr>
        <w:t>Definition of participation</w:t>
      </w:r>
    </w:p>
    <w:p w14:paraId="643B3E31" w14:textId="77777777" w:rsidR="00383898" w:rsidRPr="000559FF" w:rsidRDefault="00383898" w:rsidP="00A7709A">
      <w:pPr>
        <w:rPr>
          <w:rFonts w:cs="Times New Roman"/>
          <w:lang w:val="en-GB"/>
        </w:rPr>
      </w:pPr>
      <w:r w:rsidRPr="000559FF">
        <w:rPr>
          <w:rFonts w:cs="Times New Roman"/>
          <w:lang w:val="en-GB"/>
        </w:rPr>
        <w:t xml:space="preserve">The definition of participation used as basis for this overview is the one which has been agreed upon by the Grand Bargain “Participation Revolution” work stream:  </w:t>
      </w:r>
    </w:p>
    <w:p w14:paraId="4FCDD23D" w14:textId="02CF53B5" w:rsidR="00383898" w:rsidRPr="000559FF" w:rsidRDefault="00383898" w:rsidP="00A7709A">
      <w:pPr>
        <w:rPr>
          <w:rFonts w:cs="Times New Roman"/>
          <w:i/>
          <w:iCs/>
          <w:lang w:val="en-GB"/>
        </w:rPr>
      </w:pPr>
      <w:r w:rsidRPr="000559FF">
        <w:rPr>
          <w:rFonts w:cs="Times New Roman"/>
          <w:i/>
          <w:iCs/>
          <w:lang w:val="en-GB"/>
        </w:rPr>
        <w:t>Effective “participation” of people affected by humanitarian crises puts the needs and interests of those people at the core of humanitarian decision making, by actively engaging them throughout decision-making processes. This requires an ongoing dialogue about the design, implementation and evaluation of humanitarian responses with people, local actors and communities who are vulnerable or at risk, including those who often tend to be disproportionately disadvantaged, such as women, girls, and older persons</w:t>
      </w:r>
      <w:r w:rsidR="001B59BF" w:rsidRPr="000559FF">
        <w:rPr>
          <w:rStyle w:val="FootnoteReference"/>
          <w:rFonts w:cs="Times New Roman"/>
          <w:i/>
          <w:iCs/>
          <w:lang w:val="en-GB"/>
        </w:rPr>
        <w:footnoteReference w:id="2"/>
      </w:r>
      <w:r w:rsidRPr="000559FF">
        <w:rPr>
          <w:rFonts w:cs="Times New Roman"/>
          <w:i/>
          <w:iCs/>
          <w:lang w:val="en-GB"/>
        </w:rPr>
        <w:t>.</w:t>
      </w:r>
      <w:r w:rsidRPr="000559FF" w:rsidDel="0060111A">
        <w:rPr>
          <w:rFonts w:cs="Times New Roman"/>
          <w:i/>
          <w:iCs/>
          <w:lang w:val="en-GB"/>
        </w:rPr>
        <w:t xml:space="preserve"> </w:t>
      </w:r>
      <w:r w:rsidRPr="000559FF">
        <w:rPr>
          <w:rFonts w:cs="Times New Roman"/>
          <w:i/>
          <w:iCs/>
          <w:lang w:val="en-GB"/>
        </w:rPr>
        <w:t xml:space="preserve"> </w:t>
      </w:r>
    </w:p>
    <w:p w14:paraId="26075257" w14:textId="77777777" w:rsidR="00383898" w:rsidRPr="000559FF" w:rsidRDefault="00442974" w:rsidP="00A7709A">
      <w:pPr>
        <w:spacing w:after="0"/>
        <w:rPr>
          <w:rFonts w:cs="Times New Roman"/>
          <w:b/>
          <w:bCs/>
          <w:lang w:val="en-GB"/>
        </w:rPr>
      </w:pPr>
      <w:r w:rsidRPr="000559FF">
        <w:rPr>
          <w:rFonts w:cs="Times New Roman"/>
          <w:b/>
          <w:bCs/>
          <w:lang w:val="en-GB"/>
        </w:rPr>
        <w:t>Parameter for an overarching f</w:t>
      </w:r>
      <w:r w:rsidR="00383898" w:rsidRPr="000559FF">
        <w:rPr>
          <w:rFonts w:cs="Times New Roman"/>
          <w:b/>
          <w:bCs/>
          <w:lang w:val="en-GB"/>
        </w:rPr>
        <w:t>ramework</w:t>
      </w:r>
      <w:r w:rsidRPr="000559FF">
        <w:rPr>
          <w:rFonts w:cs="Times New Roman"/>
          <w:b/>
          <w:bCs/>
          <w:lang w:val="en-GB"/>
        </w:rPr>
        <w:t xml:space="preserve"> for participation</w:t>
      </w:r>
    </w:p>
    <w:p w14:paraId="01EEA7D4" w14:textId="67161202" w:rsidR="00383898" w:rsidRPr="000559FF" w:rsidRDefault="00383898" w:rsidP="00A7709A">
      <w:pPr>
        <w:rPr>
          <w:rFonts w:cs="Times New Roman"/>
          <w:lang w:val="en-GB"/>
        </w:rPr>
      </w:pPr>
      <w:r w:rsidRPr="000559FF">
        <w:rPr>
          <w:rFonts w:cs="Times New Roman"/>
          <w:lang w:val="en-GB"/>
        </w:rPr>
        <w:t xml:space="preserve">While recognising that effective participation looks very different from one humanitarian context to another, SCHR organisations agree on </w:t>
      </w:r>
      <w:r w:rsidRPr="000559FF">
        <w:rPr>
          <w:rFonts w:cs="Times New Roman"/>
          <w:b/>
          <w:lang w:val="en-GB"/>
        </w:rPr>
        <w:t>the following parameters</w:t>
      </w:r>
      <w:r w:rsidRPr="000559FF">
        <w:rPr>
          <w:rFonts w:cs="Times New Roman"/>
          <w:lang w:val="en-GB"/>
        </w:rPr>
        <w:t xml:space="preserve"> for an overarching framework for participation of affected people in </w:t>
      </w:r>
      <w:r w:rsidR="00434017" w:rsidRPr="000559FF">
        <w:rPr>
          <w:rFonts w:cs="Times New Roman"/>
          <w:lang w:val="en-GB"/>
        </w:rPr>
        <w:t>decisions related to the humanitarian response</w:t>
      </w:r>
      <w:r w:rsidRPr="000559FF">
        <w:rPr>
          <w:rFonts w:cs="Times New Roman"/>
          <w:lang w:val="en-GB"/>
        </w:rPr>
        <w:t xml:space="preserve">: </w:t>
      </w:r>
    </w:p>
    <w:p w14:paraId="3BA929C9" w14:textId="77777777" w:rsidR="00383898" w:rsidRPr="000559FF" w:rsidRDefault="00383898" w:rsidP="00A7709A">
      <w:pPr>
        <w:pStyle w:val="ListParagraph"/>
        <w:numPr>
          <w:ilvl w:val="0"/>
          <w:numId w:val="10"/>
        </w:numPr>
        <w:spacing w:after="0" w:line="240" w:lineRule="auto"/>
        <w:rPr>
          <w:iCs/>
          <w:lang w:val="en-GB"/>
        </w:rPr>
      </w:pPr>
      <w:r w:rsidRPr="000559FF">
        <w:rPr>
          <w:rFonts w:cs="Times New Roman"/>
          <w:b/>
          <w:iCs/>
          <w:lang w:val="en-GB"/>
        </w:rPr>
        <w:t>The Core Humanitarian Standard</w:t>
      </w:r>
      <w:r w:rsidRPr="000559FF">
        <w:rPr>
          <w:lang w:val="en-GB"/>
        </w:rPr>
        <w:t xml:space="preserve"> (CHS)</w:t>
      </w:r>
      <w:r w:rsidR="00A511DB" w:rsidRPr="000559FF">
        <w:rPr>
          <w:rStyle w:val="FootnoteReference"/>
          <w:lang w:val="en-GB"/>
        </w:rPr>
        <w:footnoteReference w:id="3"/>
      </w:r>
    </w:p>
    <w:p w14:paraId="63B4DF95" w14:textId="77777777" w:rsidR="00383898" w:rsidRPr="000559FF" w:rsidRDefault="00383898" w:rsidP="00A7709A">
      <w:pPr>
        <w:rPr>
          <w:rFonts w:cs="Times New Roman"/>
          <w:iCs/>
          <w:lang w:val="en-GB"/>
        </w:rPr>
      </w:pPr>
      <w:r w:rsidRPr="000559FF">
        <w:rPr>
          <w:rFonts w:cs="Times New Roman"/>
          <w:lang w:val="en-GB"/>
        </w:rPr>
        <w:t>The CHS</w:t>
      </w:r>
      <w:r w:rsidRPr="000559FF">
        <w:rPr>
          <w:rFonts w:cs="Times New Roman"/>
          <w:iCs/>
          <w:lang w:val="en-GB"/>
        </w:rPr>
        <w:t xml:space="preserve"> describes the essential elements of principled, accountable and high-quality humanitarian action that puts affected people at its centre.  It is an essential element of effective participation.</w:t>
      </w:r>
    </w:p>
    <w:p w14:paraId="4FA355D2" w14:textId="77777777" w:rsidR="00285291" w:rsidRPr="000559FF" w:rsidRDefault="00285291" w:rsidP="00285291">
      <w:pPr>
        <w:pStyle w:val="ListParagraph"/>
        <w:spacing w:after="0" w:line="240" w:lineRule="auto"/>
        <w:rPr>
          <w:rFonts w:cs="Times New Roman"/>
          <w:b/>
          <w:lang w:val="en-GB"/>
        </w:rPr>
      </w:pPr>
    </w:p>
    <w:p w14:paraId="0BC182C6" w14:textId="77777777" w:rsidR="00285291" w:rsidRPr="000559FF" w:rsidRDefault="00285291" w:rsidP="00285291">
      <w:pPr>
        <w:pStyle w:val="ListParagraph"/>
        <w:spacing w:after="0" w:line="240" w:lineRule="auto"/>
        <w:rPr>
          <w:rFonts w:cs="Times New Roman"/>
          <w:b/>
          <w:lang w:val="en-GB"/>
        </w:rPr>
      </w:pPr>
    </w:p>
    <w:p w14:paraId="2CF246A0" w14:textId="79CB6A7F" w:rsidR="00383898" w:rsidRPr="000559FF" w:rsidRDefault="00383898" w:rsidP="00A7709A">
      <w:pPr>
        <w:pStyle w:val="ListParagraph"/>
        <w:numPr>
          <w:ilvl w:val="0"/>
          <w:numId w:val="10"/>
        </w:numPr>
        <w:spacing w:after="0" w:line="240" w:lineRule="auto"/>
        <w:rPr>
          <w:rFonts w:cs="Times New Roman"/>
          <w:b/>
          <w:lang w:val="en-GB"/>
        </w:rPr>
      </w:pPr>
      <w:r w:rsidRPr="000559FF">
        <w:rPr>
          <w:rFonts w:cs="Times New Roman"/>
          <w:b/>
          <w:lang w:val="en-GB"/>
        </w:rPr>
        <w:t xml:space="preserve">The Programme Cycle </w:t>
      </w:r>
    </w:p>
    <w:p w14:paraId="658C2663" w14:textId="77777777" w:rsidR="00383898" w:rsidRPr="000559FF" w:rsidRDefault="00383898" w:rsidP="00A7709A">
      <w:pPr>
        <w:rPr>
          <w:rFonts w:cs="Times New Roman"/>
          <w:lang w:val="en-GB"/>
        </w:rPr>
      </w:pPr>
      <w:r w:rsidRPr="000559FF">
        <w:rPr>
          <w:rFonts w:cs="Times New Roman"/>
          <w:lang w:val="en-GB"/>
        </w:rPr>
        <w:t>Participation should take place throughout the programme cycle, grounded in on-going dialogue between people affected by crisis and humanitarian aid providers.</w:t>
      </w:r>
    </w:p>
    <w:p w14:paraId="22B87B0C" w14:textId="77777777" w:rsidR="00383898" w:rsidRPr="000559FF" w:rsidRDefault="00383898" w:rsidP="00A7709A">
      <w:pPr>
        <w:pStyle w:val="ListParagraph"/>
        <w:numPr>
          <w:ilvl w:val="0"/>
          <w:numId w:val="10"/>
        </w:numPr>
        <w:spacing w:after="0" w:line="240" w:lineRule="auto"/>
        <w:rPr>
          <w:rFonts w:cs="Times New Roman"/>
          <w:b/>
          <w:lang w:val="en-GB"/>
        </w:rPr>
      </w:pPr>
      <w:r w:rsidRPr="000559FF">
        <w:rPr>
          <w:rFonts w:cs="Times New Roman"/>
          <w:b/>
          <w:lang w:val="en-GB"/>
        </w:rPr>
        <w:t xml:space="preserve">A common aspiration for what effective participation is meant to achieve. </w:t>
      </w:r>
    </w:p>
    <w:p w14:paraId="1A5532CF" w14:textId="77777777" w:rsidR="00383898" w:rsidRPr="000559FF" w:rsidRDefault="00383898" w:rsidP="00A7709A">
      <w:pPr>
        <w:spacing w:after="40"/>
        <w:rPr>
          <w:rFonts w:cs="Times New Roman"/>
          <w:lang w:val="en-GB"/>
        </w:rPr>
      </w:pPr>
      <w:r w:rsidRPr="000559FF">
        <w:rPr>
          <w:rFonts w:cs="Times New Roman"/>
          <w:lang w:val="en-GB"/>
        </w:rPr>
        <w:t xml:space="preserve">Imagining a “Participation continuum”, which starts with information sharing and progresses towards shared control and decision – making, </w:t>
      </w:r>
    </w:p>
    <w:p w14:paraId="518AF28F" w14:textId="77777777" w:rsidR="00383898" w:rsidRPr="000559FF" w:rsidRDefault="00383898" w:rsidP="00A7709A">
      <w:pPr>
        <w:spacing w:after="0"/>
        <w:rPr>
          <w:rFonts w:cs="Times New Roman"/>
          <w:b/>
          <w:bCs/>
          <w:i/>
          <w:lang w:val="en-GB"/>
        </w:rPr>
      </w:pPr>
      <w:r w:rsidRPr="000559FF">
        <w:rPr>
          <w:rFonts w:cs="Times New Roman"/>
          <w:b/>
          <w:bCs/>
          <w:i/>
          <w:lang w:val="en-GB"/>
        </w:rPr>
        <w:t xml:space="preserve">Information sharing </w:t>
      </w:r>
      <w:r w:rsidRPr="000559FF">
        <w:rPr>
          <w:rFonts w:ascii="Arial" w:hAnsi="Arial" w:cs="Arial"/>
          <w:b/>
          <w:bCs/>
          <w:i/>
          <w:lang w:val="en-GB"/>
        </w:rPr>
        <w:t>►</w:t>
      </w:r>
      <w:r w:rsidRPr="000559FF">
        <w:rPr>
          <w:rFonts w:cs="Times New Roman"/>
          <w:b/>
          <w:bCs/>
          <w:i/>
          <w:lang w:val="en-GB"/>
        </w:rPr>
        <w:t xml:space="preserve"> Consultation </w:t>
      </w:r>
      <w:r w:rsidRPr="000559FF">
        <w:rPr>
          <w:rFonts w:ascii="Arial" w:hAnsi="Arial" w:cs="Arial"/>
          <w:b/>
          <w:bCs/>
          <w:i/>
          <w:lang w:val="en-GB"/>
        </w:rPr>
        <w:t>►</w:t>
      </w:r>
      <w:r w:rsidRPr="000559FF">
        <w:rPr>
          <w:rFonts w:cs="Times New Roman"/>
          <w:b/>
          <w:bCs/>
          <w:i/>
          <w:lang w:val="en-GB"/>
        </w:rPr>
        <w:t xml:space="preserve"> Collaboration </w:t>
      </w:r>
      <w:r w:rsidRPr="000559FF">
        <w:rPr>
          <w:rFonts w:ascii="Arial" w:hAnsi="Arial" w:cs="Arial"/>
          <w:b/>
          <w:bCs/>
          <w:i/>
          <w:lang w:val="en-GB"/>
        </w:rPr>
        <w:t>►</w:t>
      </w:r>
      <w:r w:rsidRPr="000559FF">
        <w:rPr>
          <w:rFonts w:cs="Times New Roman"/>
          <w:b/>
          <w:bCs/>
          <w:i/>
          <w:lang w:val="en-GB"/>
        </w:rPr>
        <w:t xml:space="preserve"> </w:t>
      </w:r>
      <w:r w:rsidRPr="000559FF">
        <w:rPr>
          <w:rFonts w:cs="Times New Roman"/>
          <w:b/>
          <w:bCs/>
          <w:i/>
          <w:u w:val="single"/>
          <w:lang w:val="en-GB"/>
        </w:rPr>
        <w:t>Shared control and decision – making</w:t>
      </w:r>
    </w:p>
    <w:p w14:paraId="5A883D1A" w14:textId="77777777" w:rsidR="00383898" w:rsidRPr="000559FF" w:rsidRDefault="00383898" w:rsidP="00A7709A">
      <w:pPr>
        <w:spacing w:before="40" w:after="0"/>
        <w:rPr>
          <w:rFonts w:cs="Times New Roman"/>
          <w:lang w:val="en-GB"/>
        </w:rPr>
      </w:pPr>
      <w:r w:rsidRPr="000559FF">
        <w:rPr>
          <w:rFonts w:cs="Times New Roman"/>
          <w:bCs/>
          <w:lang w:val="en-GB"/>
        </w:rPr>
        <w:t>SCHR organisations come together around a common aspiration for collaboration at the very least, and shared control and decision-making between humanitarian organisations and people affected by crisis when the humanitarian response context permits.</w:t>
      </w:r>
    </w:p>
    <w:p w14:paraId="379CF087" w14:textId="77777777" w:rsidR="002677D2" w:rsidRPr="000559FF" w:rsidRDefault="002569F0" w:rsidP="00A7709A">
      <w:pPr>
        <w:pStyle w:val="Heading1"/>
        <w:keepNext/>
        <w:keepLines/>
        <w:numPr>
          <w:ilvl w:val="0"/>
          <w:numId w:val="4"/>
        </w:numPr>
        <w:spacing w:before="240" w:beforeAutospacing="0" w:after="240" w:afterAutospacing="0" w:line="259" w:lineRule="auto"/>
        <w:rPr>
          <w:rFonts w:asciiTheme="minorHAnsi" w:eastAsiaTheme="majorEastAsia" w:hAnsiTheme="minorHAnsi"/>
          <w:bCs w:val="0"/>
          <w:kern w:val="0"/>
          <w:sz w:val="22"/>
          <w:szCs w:val="22"/>
          <w:lang w:val="en-GB" w:eastAsia="en-US"/>
        </w:rPr>
      </w:pPr>
      <w:r w:rsidRPr="000559FF">
        <w:rPr>
          <w:rFonts w:asciiTheme="minorHAnsi" w:eastAsiaTheme="majorEastAsia" w:hAnsiTheme="minorHAnsi"/>
          <w:bCs w:val="0"/>
          <w:kern w:val="0"/>
          <w:sz w:val="22"/>
          <w:szCs w:val="22"/>
          <w:lang w:val="en-GB" w:eastAsia="en-US"/>
        </w:rPr>
        <w:t xml:space="preserve"> </w:t>
      </w:r>
      <w:bookmarkStart w:id="3" w:name="_Toc494950948"/>
      <w:r w:rsidR="00442974" w:rsidRPr="000559FF">
        <w:rPr>
          <w:rFonts w:asciiTheme="minorHAnsi" w:eastAsiaTheme="majorEastAsia" w:hAnsiTheme="minorHAnsi"/>
          <w:bCs w:val="0"/>
          <w:kern w:val="0"/>
          <w:sz w:val="22"/>
          <w:szCs w:val="22"/>
          <w:lang w:val="en-GB" w:eastAsia="en-US"/>
        </w:rPr>
        <w:t>MAIN FINDINGS</w:t>
      </w:r>
      <w:bookmarkEnd w:id="3"/>
    </w:p>
    <w:p w14:paraId="1AC43BF8" w14:textId="37CB74DD" w:rsidR="007E0E79" w:rsidRPr="000559FF" w:rsidRDefault="007E0E79" w:rsidP="00A7709A">
      <w:pPr>
        <w:spacing w:after="0"/>
        <w:rPr>
          <w:rFonts w:cs="Times New Roman"/>
          <w:lang w:val="en-GB"/>
        </w:rPr>
      </w:pPr>
      <w:bookmarkStart w:id="4" w:name="_Hlk496015870"/>
      <w:r w:rsidRPr="000559FF">
        <w:rPr>
          <w:rFonts w:cs="Times New Roman"/>
          <w:lang w:val="en-GB"/>
        </w:rPr>
        <w:t xml:space="preserve">This section proposes enablers and </w:t>
      </w:r>
      <w:r w:rsidR="004F3BD3">
        <w:rPr>
          <w:rFonts w:cs="Times New Roman"/>
          <w:lang w:val="en-GB"/>
        </w:rPr>
        <w:t>disenablers</w:t>
      </w:r>
      <w:r w:rsidRPr="000559FF">
        <w:rPr>
          <w:rFonts w:cs="Times New Roman"/>
          <w:lang w:val="en-GB"/>
        </w:rPr>
        <w:t xml:space="preserve"> of effective participation which were identified by the peer review, broken down into three categories: </w:t>
      </w:r>
    </w:p>
    <w:p w14:paraId="753D5329" w14:textId="77777777" w:rsidR="00D72C64" w:rsidRPr="000559FF" w:rsidRDefault="00D72C64" w:rsidP="00A7709A">
      <w:pPr>
        <w:pStyle w:val="ListParagraph"/>
        <w:spacing w:after="0"/>
        <w:rPr>
          <w:rFonts w:cs="Times New Roman"/>
          <w:lang w:val="en-GB"/>
        </w:rPr>
      </w:pPr>
    </w:p>
    <w:p w14:paraId="4CAC4354" w14:textId="5C571281" w:rsidR="00D72C64" w:rsidRPr="000559FF" w:rsidRDefault="007E0E79" w:rsidP="00A7709A">
      <w:pPr>
        <w:pStyle w:val="ListParagraph"/>
        <w:numPr>
          <w:ilvl w:val="0"/>
          <w:numId w:val="17"/>
        </w:numPr>
        <w:spacing w:after="0"/>
        <w:rPr>
          <w:rFonts w:cs="Times New Roman"/>
          <w:lang w:val="en-GB"/>
        </w:rPr>
      </w:pPr>
      <w:r w:rsidRPr="000559FF">
        <w:rPr>
          <w:rFonts w:cs="Times New Roman"/>
          <w:u w:val="single"/>
          <w:lang w:val="en-GB"/>
        </w:rPr>
        <w:t>Contextual enabler</w:t>
      </w:r>
      <w:r w:rsidR="00D72C64" w:rsidRPr="000559FF">
        <w:rPr>
          <w:rFonts w:cs="Times New Roman"/>
          <w:u w:val="single"/>
          <w:lang w:val="en-GB"/>
        </w:rPr>
        <w:t>s</w:t>
      </w:r>
      <w:r w:rsidRPr="000559FF">
        <w:rPr>
          <w:rFonts w:cs="Times New Roman"/>
          <w:u w:val="single"/>
          <w:lang w:val="en-GB"/>
        </w:rPr>
        <w:t xml:space="preserve"> / </w:t>
      </w:r>
      <w:r w:rsidR="004F3BD3">
        <w:rPr>
          <w:rFonts w:cs="Times New Roman"/>
          <w:u w:val="single"/>
          <w:lang w:val="en-GB"/>
        </w:rPr>
        <w:t>disenablers</w:t>
      </w:r>
      <w:r w:rsidR="00D72C64" w:rsidRPr="000559FF">
        <w:rPr>
          <w:rFonts w:cs="Times New Roman"/>
          <w:lang w:val="en-GB"/>
        </w:rPr>
        <w:t>: the</w:t>
      </w:r>
      <w:r w:rsidR="000559FF">
        <w:rPr>
          <w:rFonts w:cs="Times New Roman"/>
          <w:lang w:val="en-GB"/>
        </w:rPr>
        <w:t xml:space="preserve"> degree to which these apply or not may vary considerably from one context to another</w:t>
      </w:r>
    </w:p>
    <w:p w14:paraId="079FDC0A" w14:textId="7647A10C" w:rsidR="00D72C64" w:rsidRPr="000559FF" w:rsidRDefault="00D72C64" w:rsidP="00A7709A">
      <w:pPr>
        <w:pStyle w:val="ListParagraph"/>
        <w:numPr>
          <w:ilvl w:val="0"/>
          <w:numId w:val="17"/>
        </w:numPr>
        <w:spacing w:after="0"/>
        <w:rPr>
          <w:rFonts w:cs="Times New Roman"/>
          <w:lang w:val="en-GB"/>
        </w:rPr>
      </w:pPr>
      <w:r w:rsidRPr="000559FF">
        <w:rPr>
          <w:rFonts w:cs="Times New Roman"/>
          <w:u w:val="single"/>
          <w:lang w:val="en-GB"/>
        </w:rPr>
        <w:t>Systemic</w:t>
      </w:r>
      <w:r w:rsidR="007E0E79" w:rsidRPr="000559FF">
        <w:rPr>
          <w:rFonts w:cs="Times New Roman"/>
          <w:u w:val="single"/>
          <w:lang w:val="en-GB"/>
        </w:rPr>
        <w:t xml:space="preserve"> </w:t>
      </w:r>
      <w:r w:rsidRPr="000559FF">
        <w:rPr>
          <w:rFonts w:cs="Times New Roman"/>
          <w:u w:val="single"/>
          <w:lang w:val="en-GB"/>
        </w:rPr>
        <w:t xml:space="preserve">enablers / </w:t>
      </w:r>
      <w:r w:rsidR="004F3BD3">
        <w:rPr>
          <w:rFonts w:cs="Times New Roman"/>
          <w:u w:val="single"/>
          <w:lang w:val="en-GB"/>
        </w:rPr>
        <w:t>disenablers</w:t>
      </w:r>
      <w:r w:rsidRPr="000559FF">
        <w:rPr>
          <w:rFonts w:cs="Times New Roman"/>
          <w:lang w:val="en-GB"/>
        </w:rPr>
        <w:t xml:space="preserve"> relate to how international humanitarian </w:t>
      </w:r>
      <w:r w:rsidR="00A90DC7" w:rsidRPr="000559FF">
        <w:rPr>
          <w:rFonts w:cs="Times New Roman"/>
          <w:lang w:val="en-GB"/>
        </w:rPr>
        <w:t xml:space="preserve">assistance </w:t>
      </w:r>
      <w:r w:rsidRPr="000559FF">
        <w:rPr>
          <w:rFonts w:cs="Times New Roman"/>
          <w:lang w:val="en-GB"/>
        </w:rPr>
        <w:t xml:space="preserve">is structured in terms of </w:t>
      </w:r>
      <w:r w:rsidR="00564C2A" w:rsidRPr="000559FF">
        <w:rPr>
          <w:rFonts w:cs="Times New Roman"/>
          <w:lang w:val="en-GB"/>
        </w:rPr>
        <w:t>decision-</w:t>
      </w:r>
      <w:r w:rsidRPr="000559FF">
        <w:rPr>
          <w:rFonts w:cs="Times New Roman"/>
          <w:lang w:val="en-GB"/>
        </w:rPr>
        <w:t xml:space="preserve">making power, coordination structures and resourcing. </w:t>
      </w:r>
    </w:p>
    <w:p w14:paraId="1AC91C0A" w14:textId="7F60DC71" w:rsidR="00D72C64" w:rsidRPr="000559FF" w:rsidRDefault="00D72C64" w:rsidP="00A7709A">
      <w:pPr>
        <w:pStyle w:val="ListParagraph"/>
        <w:numPr>
          <w:ilvl w:val="0"/>
          <w:numId w:val="17"/>
        </w:numPr>
        <w:spacing w:after="0"/>
        <w:rPr>
          <w:rFonts w:cs="Times New Roman"/>
          <w:lang w:val="en-GB"/>
        </w:rPr>
      </w:pPr>
      <w:r w:rsidRPr="000559FF">
        <w:rPr>
          <w:rFonts w:cs="Times New Roman"/>
          <w:u w:val="single"/>
          <w:lang w:val="en-GB"/>
        </w:rPr>
        <w:t xml:space="preserve">Organisational enablers / </w:t>
      </w:r>
      <w:r w:rsidR="004F3BD3">
        <w:rPr>
          <w:rFonts w:cs="Times New Roman"/>
          <w:u w:val="single"/>
          <w:lang w:val="en-GB"/>
        </w:rPr>
        <w:t>disenablers</w:t>
      </w:r>
      <w:r w:rsidRPr="000559FF">
        <w:rPr>
          <w:rFonts w:cs="Times New Roman"/>
          <w:lang w:val="en-GB"/>
        </w:rPr>
        <w:t xml:space="preserve"> are related to how the organisation makes decisions, operates throughout the Humanitarian Programme Cycle, resources its action, partners with others.</w:t>
      </w:r>
    </w:p>
    <w:p w14:paraId="0301444D" w14:textId="77777777" w:rsidR="000559FF" w:rsidRPr="000559FF" w:rsidRDefault="000559FF" w:rsidP="000559FF">
      <w:pPr>
        <w:spacing w:after="0"/>
        <w:rPr>
          <w:rFonts w:cs="Times New Roman"/>
          <w:lang w:val="en-GB"/>
        </w:rPr>
      </w:pPr>
    </w:p>
    <w:p w14:paraId="30456C26" w14:textId="75975ABA" w:rsidR="00D72C64" w:rsidRPr="000559FF" w:rsidRDefault="000559FF" w:rsidP="000559FF">
      <w:pPr>
        <w:spacing w:after="0"/>
        <w:rPr>
          <w:rFonts w:cs="Times New Roman"/>
          <w:lang w:val="en-GB"/>
        </w:rPr>
      </w:pPr>
      <w:r w:rsidRPr="000559FF">
        <w:rPr>
          <w:lang w:val="en-GB"/>
        </w:rPr>
        <w:t xml:space="preserve">The review found that quite a few of the systemic enablers / </w:t>
      </w:r>
      <w:r w:rsidR="004F3BD3">
        <w:rPr>
          <w:lang w:val="en-GB"/>
        </w:rPr>
        <w:t>disenablers</w:t>
      </w:r>
      <w:r w:rsidRPr="000559FF">
        <w:rPr>
          <w:lang w:val="en-GB"/>
        </w:rPr>
        <w:t xml:space="preserve"> are reflected in organisational approaches and systems, and that these in turn reinforce the systemic nature of these enablers and </w:t>
      </w:r>
      <w:r w:rsidR="004F3BD3">
        <w:rPr>
          <w:lang w:val="en-GB"/>
        </w:rPr>
        <w:t>disenablers</w:t>
      </w:r>
      <w:r w:rsidRPr="000559FF">
        <w:rPr>
          <w:lang w:val="en-GB"/>
        </w:rPr>
        <w:t xml:space="preserve">. These specific issues are presented as both systemic and organisational in the following tables.  </w:t>
      </w:r>
    </w:p>
    <w:p w14:paraId="31CC7137" w14:textId="77777777" w:rsidR="00285291" w:rsidRPr="000559FF" w:rsidRDefault="00285291">
      <w:pPr>
        <w:rPr>
          <w:rFonts w:cs="Times New Roman"/>
          <w:b/>
          <w:lang w:val="en-GB"/>
        </w:rPr>
      </w:pPr>
      <w:r w:rsidRPr="000559FF">
        <w:rPr>
          <w:rFonts w:cs="Times New Roman"/>
          <w:b/>
          <w:lang w:val="en-GB"/>
        </w:rPr>
        <w:br w:type="page"/>
      </w:r>
    </w:p>
    <w:bookmarkEnd w:id="4"/>
    <w:p w14:paraId="7252B057" w14:textId="52701B19" w:rsidR="00D72C64" w:rsidRPr="000559FF" w:rsidRDefault="003F0DB0" w:rsidP="00A7709A">
      <w:pPr>
        <w:rPr>
          <w:rFonts w:cs="Times New Roman"/>
          <w:b/>
          <w:lang w:val="en-GB"/>
        </w:rPr>
      </w:pPr>
      <w:r w:rsidRPr="000559FF">
        <w:rPr>
          <w:rFonts w:cs="Times New Roman"/>
          <w:b/>
          <w:lang w:val="en-GB"/>
        </w:rPr>
        <w:t xml:space="preserve">Overview of </w:t>
      </w:r>
      <w:r w:rsidR="003902C4" w:rsidRPr="000559FF">
        <w:rPr>
          <w:rFonts w:cs="Times New Roman"/>
          <w:b/>
          <w:lang w:val="en-GB"/>
        </w:rPr>
        <w:t>Findings: e</w:t>
      </w:r>
      <w:r w:rsidR="00D72C64" w:rsidRPr="000559FF">
        <w:rPr>
          <w:rFonts w:cs="Times New Roman"/>
          <w:b/>
          <w:lang w:val="en-GB"/>
        </w:rPr>
        <w:t>nablers of effective participation:</w:t>
      </w:r>
    </w:p>
    <w:tbl>
      <w:tblPr>
        <w:tblStyle w:val="TableGrid"/>
        <w:tblW w:w="0" w:type="auto"/>
        <w:tblInd w:w="-113" w:type="dxa"/>
        <w:tblLook w:val="04A0" w:firstRow="1" w:lastRow="0" w:firstColumn="1" w:lastColumn="0" w:noHBand="0" w:noVBand="1"/>
      </w:tblPr>
      <w:tblGrid>
        <w:gridCol w:w="2943"/>
        <w:gridCol w:w="2623"/>
        <w:gridCol w:w="3563"/>
      </w:tblGrid>
      <w:tr w:rsidR="007E0E79" w:rsidRPr="000559FF" w14:paraId="643D75B0" w14:textId="77777777" w:rsidTr="007C081B">
        <w:tc>
          <w:tcPr>
            <w:tcW w:w="2943" w:type="dxa"/>
            <w:tcBorders>
              <w:bottom w:val="single" w:sz="4" w:space="0" w:color="auto"/>
            </w:tcBorders>
          </w:tcPr>
          <w:p w14:paraId="6943DED5" w14:textId="77777777" w:rsidR="007E0E79" w:rsidRPr="000559FF" w:rsidRDefault="007E0E79" w:rsidP="00A7709A">
            <w:pPr>
              <w:rPr>
                <w:b/>
                <w:sz w:val="24"/>
                <w:lang w:val="en-GB"/>
              </w:rPr>
            </w:pPr>
            <w:r w:rsidRPr="000559FF">
              <w:rPr>
                <w:b/>
                <w:sz w:val="24"/>
                <w:lang w:val="en-GB"/>
              </w:rPr>
              <w:t>Context Specific</w:t>
            </w:r>
          </w:p>
        </w:tc>
        <w:tc>
          <w:tcPr>
            <w:tcW w:w="2623" w:type="dxa"/>
            <w:tcBorders>
              <w:bottom w:val="single" w:sz="4" w:space="0" w:color="auto"/>
            </w:tcBorders>
          </w:tcPr>
          <w:p w14:paraId="6BC87A80" w14:textId="77777777" w:rsidR="007E0E79" w:rsidRPr="000559FF" w:rsidRDefault="007E0E79" w:rsidP="00A7709A">
            <w:pPr>
              <w:rPr>
                <w:b/>
                <w:sz w:val="24"/>
                <w:lang w:val="en-GB"/>
              </w:rPr>
            </w:pPr>
            <w:r w:rsidRPr="000559FF">
              <w:rPr>
                <w:b/>
                <w:sz w:val="24"/>
                <w:lang w:val="en-GB"/>
              </w:rPr>
              <w:t>Systemic</w:t>
            </w:r>
          </w:p>
        </w:tc>
        <w:tc>
          <w:tcPr>
            <w:tcW w:w="3563" w:type="dxa"/>
            <w:tcBorders>
              <w:bottom w:val="single" w:sz="4" w:space="0" w:color="auto"/>
            </w:tcBorders>
          </w:tcPr>
          <w:p w14:paraId="05107AA3" w14:textId="77777777" w:rsidR="007E0E79" w:rsidRPr="000559FF" w:rsidRDefault="007E0E79" w:rsidP="00A7709A">
            <w:pPr>
              <w:rPr>
                <w:b/>
                <w:sz w:val="24"/>
                <w:lang w:val="en-GB"/>
              </w:rPr>
            </w:pPr>
            <w:r w:rsidRPr="000559FF">
              <w:rPr>
                <w:b/>
                <w:sz w:val="24"/>
                <w:lang w:val="en-GB"/>
              </w:rPr>
              <w:t>Organisational</w:t>
            </w:r>
          </w:p>
        </w:tc>
      </w:tr>
      <w:tr w:rsidR="007E0E79" w:rsidRPr="009C52C7" w14:paraId="15E2DE4D" w14:textId="77777777" w:rsidTr="007C081B">
        <w:tc>
          <w:tcPr>
            <w:tcW w:w="2943" w:type="dxa"/>
            <w:tcBorders>
              <w:top w:val="single" w:sz="4" w:space="0" w:color="auto"/>
              <w:left w:val="single" w:sz="4" w:space="0" w:color="auto"/>
              <w:bottom w:val="nil"/>
              <w:right w:val="single" w:sz="4" w:space="0" w:color="auto"/>
            </w:tcBorders>
          </w:tcPr>
          <w:p w14:paraId="24D8BCCD" w14:textId="77777777" w:rsidR="007E0E79" w:rsidRPr="000559FF" w:rsidRDefault="007E0E79" w:rsidP="00A7709A">
            <w:pPr>
              <w:rPr>
                <w:b/>
                <w:sz w:val="24"/>
                <w:lang w:val="en-GB"/>
              </w:rPr>
            </w:pPr>
          </w:p>
          <w:p w14:paraId="29CFD27A" w14:textId="77777777" w:rsidR="007E0E79" w:rsidRPr="000559FF" w:rsidRDefault="007E0E79" w:rsidP="00A7709A">
            <w:pPr>
              <w:pStyle w:val="ListParagraph"/>
              <w:numPr>
                <w:ilvl w:val="0"/>
                <w:numId w:val="13"/>
              </w:numPr>
              <w:ind w:left="360"/>
              <w:rPr>
                <w:lang w:val="en-GB"/>
              </w:rPr>
            </w:pPr>
            <w:r w:rsidRPr="000559FF">
              <w:rPr>
                <w:rFonts w:cs="Times New Roman"/>
                <w:lang w:val="en-GB"/>
              </w:rPr>
              <w:t>Active and outspoken people affected by crisis: affected people, including children, actively engage in participation mechanisms and are outspoken about their concerns and issues.</w:t>
            </w:r>
          </w:p>
          <w:p w14:paraId="24CA492B" w14:textId="1CE54E6C" w:rsidR="007E0E79" w:rsidRPr="000559FF" w:rsidRDefault="007E0E79" w:rsidP="00A7709A">
            <w:pPr>
              <w:numPr>
                <w:ilvl w:val="0"/>
                <w:numId w:val="13"/>
              </w:numPr>
              <w:tabs>
                <w:tab w:val="clear" w:pos="720"/>
                <w:tab w:val="num" w:pos="360"/>
              </w:tabs>
              <w:spacing w:line="276" w:lineRule="auto"/>
              <w:ind w:left="360"/>
              <w:rPr>
                <w:lang w:val="en-GB"/>
              </w:rPr>
            </w:pPr>
            <w:r w:rsidRPr="000559FF">
              <w:rPr>
                <w:lang w:val="en-GB"/>
              </w:rPr>
              <w:t xml:space="preserve">Affected people have a sense of community and </w:t>
            </w:r>
            <w:r w:rsidR="00434017" w:rsidRPr="000559FF">
              <w:rPr>
                <w:lang w:val="en-GB"/>
              </w:rPr>
              <w:t xml:space="preserve">accessible </w:t>
            </w:r>
            <w:r w:rsidRPr="000559FF">
              <w:rPr>
                <w:lang w:val="en-GB"/>
              </w:rPr>
              <w:t>representation structures</w:t>
            </w:r>
          </w:p>
          <w:p w14:paraId="7F65CEF5" w14:textId="77777777" w:rsidR="007E0E79" w:rsidRPr="000559FF" w:rsidRDefault="007C081B" w:rsidP="00A7709A">
            <w:pPr>
              <w:pStyle w:val="ListParagraph"/>
              <w:numPr>
                <w:ilvl w:val="0"/>
                <w:numId w:val="13"/>
              </w:numPr>
              <w:tabs>
                <w:tab w:val="clear" w:pos="720"/>
                <w:tab w:val="num" w:pos="360"/>
              </w:tabs>
              <w:ind w:left="360"/>
              <w:rPr>
                <w:lang w:val="en-GB"/>
              </w:rPr>
            </w:pPr>
            <w:r w:rsidRPr="000559FF">
              <w:rPr>
                <w:lang w:val="en-GB"/>
              </w:rPr>
              <w:t xml:space="preserve">Authorities </w:t>
            </w:r>
            <w:r w:rsidR="007E0E79" w:rsidRPr="000559FF">
              <w:rPr>
                <w:lang w:val="en-GB"/>
              </w:rPr>
              <w:t xml:space="preserve">engaged in leadership and coordination of the response and committed to </w:t>
            </w:r>
            <w:r w:rsidRPr="000559FF">
              <w:rPr>
                <w:lang w:val="en-GB"/>
              </w:rPr>
              <w:t>giving affected people a voice in decisions which affect them</w:t>
            </w:r>
            <w:r w:rsidR="007E0E79" w:rsidRPr="000559FF">
              <w:rPr>
                <w:lang w:val="en-GB"/>
              </w:rPr>
              <w:t>.</w:t>
            </w:r>
          </w:p>
        </w:tc>
        <w:tc>
          <w:tcPr>
            <w:tcW w:w="2623" w:type="dxa"/>
            <w:tcBorders>
              <w:top w:val="single" w:sz="4" w:space="0" w:color="auto"/>
              <w:left w:val="single" w:sz="4" w:space="0" w:color="auto"/>
              <w:bottom w:val="nil"/>
              <w:right w:val="single" w:sz="4" w:space="0" w:color="auto"/>
            </w:tcBorders>
          </w:tcPr>
          <w:p w14:paraId="7FC1931F" w14:textId="77777777" w:rsidR="007E0E79" w:rsidRPr="000559FF" w:rsidRDefault="007E0E79" w:rsidP="00A7709A">
            <w:pPr>
              <w:ind w:left="720"/>
              <w:rPr>
                <w:lang w:val="en-GB"/>
              </w:rPr>
            </w:pPr>
          </w:p>
          <w:p w14:paraId="403611DC" w14:textId="08F3F268" w:rsidR="00A7709A" w:rsidRPr="000559FF" w:rsidRDefault="007E0E79" w:rsidP="00285291">
            <w:pPr>
              <w:pStyle w:val="ListParagraph"/>
              <w:numPr>
                <w:ilvl w:val="0"/>
                <w:numId w:val="13"/>
              </w:numPr>
              <w:ind w:left="360"/>
              <w:rPr>
                <w:lang w:val="en-GB"/>
              </w:rPr>
            </w:pPr>
            <w:r w:rsidRPr="000559FF">
              <w:rPr>
                <w:lang w:val="en-GB"/>
              </w:rPr>
              <w:t>Flexible donors</w:t>
            </w:r>
            <w:r w:rsidRPr="000559FF">
              <w:rPr>
                <w:rFonts w:cs="Times New Roman"/>
                <w:b/>
                <w:lang w:val="en-GB"/>
              </w:rPr>
              <w:t>:</w:t>
            </w:r>
            <w:r w:rsidRPr="000559FF">
              <w:rPr>
                <w:rFonts w:cs="Times New Roman"/>
                <w:lang w:val="en-GB"/>
              </w:rPr>
              <w:t xml:space="preserve"> donors which allow organisations to adapt their interventions according to affected people’s expressed needs, feedback and complaints. </w:t>
            </w:r>
          </w:p>
        </w:tc>
        <w:tc>
          <w:tcPr>
            <w:tcW w:w="3563" w:type="dxa"/>
            <w:tcBorders>
              <w:top w:val="single" w:sz="4" w:space="0" w:color="auto"/>
              <w:left w:val="single" w:sz="4" w:space="0" w:color="auto"/>
              <w:bottom w:val="nil"/>
              <w:right w:val="single" w:sz="4" w:space="0" w:color="auto"/>
            </w:tcBorders>
          </w:tcPr>
          <w:p w14:paraId="7557F9AA" w14:textId="77777777" w:rsidR="007E0E79" w:rsidRPr="000559FF" w:rsidRDefault="007E0E79" w:rsidP="00A7709A">
            <w:pPr>
              <w:ind w:left="720"/>
              <w:rPr>
                <w:lang w:val="en-GB"/>
              </w:rPr>
            </w:pPr>
          </w:p>
          <w:p w14:paraId="4B11D94E" w14:textId="6E10F0B7" w:rsidR="007E0E79" w:rsidRPr="000559FF" w:rsidRDefault="00A7709A" w:rsidP="00951CE5">
            <w:pPr>
              <w:numPr>
                <w:ilvl w:val="0"/>
                <w:numId w:val="14"/>
              </w:numPr>
              <w:rPr>
                <w:lang w:val="en-GB"/>
              </w:rPr>
            </w:pPr>
            <w:r w:rsidRPr="000559FF">
              <w:rPr>
                <w:lang w:val="en-GB"/>
              </w:rPr>
              <w:t>Proactive o</w:t>
            </w:r>
            <w:r w:rsidR="007E0E79" w:rsidRPr="000559FF">
              <w:rPr>
                <w:lang w:val="en-GB"/>
              </w:rPr>
              <w:t>rga</w:t>
            </w:r>
            <w:r w:rsidR="007C081B" w:rsidRPr="000559FF">
              <w:rPr>
                <w:lang w:val="en-GB"/>
              </w:rPr>
              <w:t>nis</w:t>
            </w:r>
            <w:r w:rsidR="007E0E79" w:rsidRPr="000559FF">
              <w:rPr>
                <w:lang w:val="en-GB"/>
              </w:rPr>
              <w:t xml:space="preserve">ational </w:t>
            </w:r>
            <w:r w:rsidR="00CB5F33" w:rsidRPr="000559FF">
              <w:rPr>
                <w:lang w:val="en-GB"/>
              </w:rPr>
              <w:t xml:space="preserve">culture and </w:t>
            </w:r>
            <w:r w:rsidRPr="000559FF">
              <w:rPr>
                <w:lang w:val="en-GB"/>
              </w:rPr>
              <w:t>commitment to participation</w:t>
            </w:r>
            <w:r w:rsidR="007E0E79" w:rsidRPr="000559FF">
              <w:rPr>
                <w:lang w:val="en-GB"/>
              </w:rPr>
              <w:t xml:space="preserve">, in terms of leadership, mechanisms, investments </w:t>
            </w:r>
            <w:r w:rsidRPr="000559FF">
              <w:rPr>
                <w:lang w:val="en-GB"/>
              </w:rPr>
              <w:t xml:space="preserve">and tools </w:t>
            </w:r>
            <w:r w:rsidR="007E0E79" w:rsidRPr="000559FF">
              <w:rPr>
                <w:lang w:val="en-GB"/>
              </w:rPr>
              <w:t>(ex. In the CHS, In training of staff, in allocation of resources to participation)</w:t>
            </w:r>
          </w:p>
          <w:p w14:paraId="06CA6A91" w14:textId="77777777" w:rsidR="007E0E79" w:rsidRPr="000559FF" w:rsidRDefault="007E0E79" w:rsidP="00951CE5">
            <w:pPr>
              <w:numPr>
                <w:ilvl w:val="0"/>
                <w:numId w:val="14"/>
              </w:numPr>
              <w:rPr>
                <w:lang w:val="en-GB"/>
              </w:rPr>
            </w:pPr>
            <w:r w:rsidRPr="000559FF">
              <w:rPr>
                <w:lang w:val="en-GB"/>
              </w:rPr>
              <w:t>National staff and partners with local knowledge and access to affected people, including to different groups within the affected community.</w:t>
            </w:r>
          </w:p>
          <w:p w14:paraId="1E66FF5D" w14:textId="70262190" w:rsidR="007E0E79" w:rsidRPr="000559FF" w:rsidRDefault="007E0E79" w:rsidP="00951CE5">
            <w:pPr>
              <w:numPr>
                <w:ilvl w:val="0"/>
                <w:numId w:val="14"/>
              </w:numPr>
              <w:rPr>
                <w:lang w:val="en-GB"/>
              </w:rPr>
            </w:pPr>
            <w:r w:rsidRPr="000559FF">
              <w:rPr>
                <w:lang w:val="en-GB"/>
              </w:rPr>
              <w:t>Strategic partnerships with national a</w:t>
            </w:r>
            <w:r w:rsidR="00053945" w:rsidRPr="000559FF">
              <w:rPr>
                <w:lang w:val="en-GB"/>
              </w:rPr>
              <w:t>nd local organi</w:t>
            </w:r>
            <w:r w:rsidR="00285291" w:rsidRPr="000559FF">
              <w:rPr>
                <w:lang w:val="en-GB"/>
              </w:rPr>
              <w:t>s</w:t>
            </w:r>
            <w:r w:rsidRPr="000559FF">
              <w:rPr>
                <w:lang w:val="en-GB"/>
              </w:rPr>
              <w:t>ations (in opposition to transactional partnerships).</w:t>
            </w:r>
          </w:p>
          <w:p w14:paraId="7A712A2E" w14:textId="77777777" w:rsidR="007E0E79" w:rsidRPr="000559FF" w:rsidRDefault="007E0E79" w:rsidP="00951CE5">
            <w:pPr>
              <w:numPr>
                <w:ilvl w:val="0"/>
                <w:numId w:val="14"/>
              </w:numPr>
              <w:rPr>
                <w:lang w:val="en-GB"/>
              </w:rPr>
            </w:pPr>
            <w:r w:rsidRPr="000559FF">
              <w:rPr>
                <w:lang w:val="en-GB"/>
              </w:rPr>
              <w:t>Protection integrated as a cross-cutting community-based approach to identify and meet the needs of affected people.</w:t>
            </w:r>
          </w:p>
          <w:p w14:paraId="705F5F96" w14:textId="7A2DFD87" w:rsidR="00951CE5" w:rsidRPr="000559FF" w:rsidRDefault="00951CE5" w:rsidP="00951CE5">
            <w:pPr>
              <w:numPr>
                <w:ilvl w:val="0"/>
                <w:numId w:val="14"/>
              </w:numPr>
              <w:rPr>
                <w:lang w:val="en-GB"/>
              </w:rPr>
            </w:pPr>
            <w:r w:rsidRPr="000559FF">
              <w:rPr>
                <w:lang w:val="en-GB"/>
              </w:rPr>
              <w:t xml:space="preserve">Decision – making </w:t>
            </w:r>
            <w:r w:rsidR="000B1EE7" w:rsidRPr="000559FF">
              <w:rPr>
                <w:lang w:val="en-GB"/>
              </w:rPr>
              <w:t xml:space="preserve">related to </w:t>
            </w:r>
            <w:r w:rsidRPr="000559FF">
              <w:rPr>
                <w:lang w:val="en-GB"/>
              </w:rPr>
              <w:t>grant management</w:t>
            </w:r>
            <w:r w:rsidR="000B1EE7" w:rsidRPr="000559FF">
              <w:rPr>
                <w:lang w:val="en-GB"/>
              </w:rPr>
              <w:t xml:space="preserve"> and </w:t>
            </w:r>
            <w:r w:rsidRPr="000559FF">
              <w:rPr>
                <w:lang w:val="en-GB"/>
              </w:rPr>
              <w:t>allocation of resources</w:t>
            </w:r>
            <w:r w:rsidR="000B1EE7" w:rsidRPr="000559FF">
              <w:rPr>
                <w:lang w:val="en-GB"/>
              </w:rPr>
              <w:t xml:space="preserve"> is</w:t>
            </w:r>
            <w:r w:rsidRPr="000559FF">
              <w:rPr>
                <w:lang w:val="en-GB"/>
              </w:rPr>
              <w:t xml:space="preserve"> close to project management </w:t>
            </w:r>
          </w:p>
        </w:tc>
      </w:tr>
      <w:tr w:rsidR="007E0E79" w:rsidRPr="009C52C7" w14:paraId="6FA1EDE9" w14:textId="77777777" w:rsidTr="007C081B">
        <w:tc>
          <w:tcPr>
            <w:tcW w:w="2943" w:type="dxa"/>
            <w:tcBorders>
              <w:top w:val="nil"/>
              <w:bottom w:val="single" w:sz="4" w:space="0" w:color="auto"/>
            </w:tcBorders>
          </w:tcPr>
          <w:p w14:paraId="3B76FD86" w14:textId="77777777" w:rsidR="007E0E79" w:rsidRPr="000559FF" w:rsidRDefault="007E0E79" w:rsidP="00A7709A">
            <w:pPr>
              <w:rPr>
                <w:b/>
                <w:sz w:val="24"/>
                <w:lang w:val="en-GB"/>
              </w:rPr>
            </w:pPr>
          </w:p>
        </w:tc>
        <w:tc>
          <w:tcPr>
            <w:tcW w:w="6186" w:type="dxa"/>
            <w:gridSpan w:val="2"/>
            <w:tcBorders>
              <w:top w:val="nil"/>
              <w:bottom w:val="single" w:sz="4" w:space="0" w:color="auto"/>
            </w:tcBorders>
          </w:tcPr>
          <w:p w14:paraId="5EE8D771" w14:textId="2DAD7AAE" w:rsidR="007E0E79" w:rsidRPr="000559FF" w:rsidRDefault="007E0E79" w:rsidP="00A7709A">
            <w:pPr>
              <w:numPr>
                <w:ilvl w:val="0"/>
                <w:numId w:val="13"/>
              </w:numPr>
              <w:tabs>
                <w:tab w:val="clear" w:pos="720"/>
                <w:tab w:val="num" w:pos="360"/>
              </w:tabs>
              <w:ind w:left="360"/>
              <w:rPr>
                <w:lang w:val="en-GB"/>
              </w:rPr>
            </w:pPr>
            <w:r w:rsidRPr="000559FF">
              <w:rPr>
                <w:lang w:val="en-GB"/>
              </w:rPr>
              <w:t xml:space="preserve">Providers of assistance </w:t>
            </w:r>
            <w:r w:rsidR="00285291" w:rsidRPr="000559FF">
              <w:rPr>
                <w:lang w:val="en-GB"/>
              </w:rPr>
              <w:t xml:space="preserve">with </w:t>
            </w:r>
            <w:r w:rsidRPr="000559FF">
              <w:rPr>
                <w:lang w:val="en-GB"/>
              </w:rPr>
              <w:t>capacity to respond to input from affected people</w:t>
            </w:r>
          </w:p>
          <w:p w14:paraId="259DFB1F" w14:textId="6D13AFDC" w:rsidR="007E0E79" w:rsidRPr="000559FF" w:rsidRDefault="007E0E79" w:rsidP="00A7709A">
            <w:pPr>
              <w:numPr>
                <w:ilvl w:val="0"/>
                <w:numId w:val="13"/>
              </w:numPr>
              <w:tabs>
                <w:tab w:val="clear" w:pos="720"/>
                <w:tab w:val="num" w:pos="360"/>
              </w:tabs>
              <w:ind w:left="360"/>
              <w:rPr>
                <w:lang w:val="en-GB"/>
              </w:rPr>
            </w:pPr>
            <w:r w:rsidRPr="000559FF">
              <w:rPr>
                <w:lang w:val="en-GB"/>
              </w:rPr>
              <w:t xml:space="preserve">Providers of assistance </w:t>
            </w:r>
            <w:r w:rsidR="00285291" w:rsidRPr="000559FF">
              <w:rPr>
                <w:lang w:val="en-GB"/>
              </w:rPr>
              <w:t xml:space="preserve">which </w:t>
            </w:r>
            <w:r w:rsidRPr="000559FF">
              <w:rPr>
                <w:lang w:val="en-GB"/>
              </w:rPr>
              <w:t xml:space="preserve">can invest in participation across sectors </w:t>
            </w:r>
          </w:p>
          <w:p w14:paraId="38B78B69" w14:textId="77777777" w:rsidR="007E0E79" w:rsidRPr="000559FF" w:rsidRDefault="007E0E79" w:rsidP="00A7709A">
            <w:pPr>
              <w:numPr>
                <w:ilvl w:val="0"/>
                <w:numId w:val="13"/>
              </w:numPr>
              <w:tabs>
                <w:tab w:val="clear" w:pos="720"/>
                <w:tab w:val="num" w:pos="360"/>
              </w:tabs>
              <w:ind w:left="360"/>
              <w:rPr>
                <w:lang w:val="en-GB"/>
              </w:rPr>
            </w:pPr>
            <w:r w:rsidRPr="000559FF">
              <w:rPr>
                <w:lang w:val="en-GB"/>
              </w:rPr>
              <w:t>Cash programming (as a means of giving more choice/options to affected people)</w:t>
            </w:r>
          </w:p>
          <w:p w14:paraId="746C08FE" w14:textId="4299F96D" w:rsidR="007E0E79" w:rsidRPr="000559FF" w:rsidRDefault="007E0E79" w:rsidP="00A7709A">
            <w:pPr>
              <w:numPr>
                <w:ilvl w:val="0"/>
                <w:numId w:val="13"/>
              </w:numPr>
              <w:tabs>
                <w:tab w:val="clear" w:pos="720"/>
              </w:tabs>
              <w:ind w:left="360"/>
              <w:rPr>
                <w:lang w:val="en-GB"/>
              </w:rPr>
            </w:pPr>
            <w:r w:rsidRPr="000559FF">
              <w:rPr>
                <w:lang w:val="en-GB"/>
              </w:rPr>
              <w:t>Good coordination / cross agency collaboration</w:t>
            </w:r>
            <w:r w:rsidR="00285291" w:rsidRPr="000559FF">
              <w:rPr>
                <w:lang w:val="en-GB"/>
              </w:rPr>
              <w:t xml:space="preserve"> and inclusive leadership</w:t>
            </w:r>
          </w:p>
        </w:tc>
      </w:tr>
    </w:tbl>
    <w:p w14:paraId="0F8BA0C5" w14:textId="77777777" w:rsidR="009670CF" w:rsidRPr="000559FF" w:rsidRDefault="009670CF" w:rsidP="00A7709A">
      <w:pPr>
        <w:rPr>
          <w:rFonts w:cs="Times New Roman"/>
          <w:b/>
          <w:lang w:val="en-GB"/>
        </w:rPr>
      </w:pPr>
      <w:r w:rsidRPr="000559FF">
        <w:rPr>
          <w:rFonts w:cs="Times New Roman"/>
          <w:b/>
          <w:lang w:val="en-GB"/>
        </w:rPr>
        <w:br w:type="page"/>
      </w:r>
    </w:p>
    <w:p w14:paraId="3230E461" w14:textId="3F292456" w:rsidR="003902C4" w:rsidRPr="000559FF" w:rsidRDefault="003F0DB0" w:rsidP="00A7709A">
      <w:pPr>
        <w:rPr>
          <w:rFonts w:cs="Times New Roman"/>
          <w:b/>
          <w:lang w:val="en-GB"/>
        </w:rPr>
      </w:pPr>
      <w:r w:rsidRPr="000559FF">
        <w:rPr>
          <w:rFonts w:cs="Times New Roman"/>
          <w:b/>
          <w:lang w:val="en-GB"/>
        </w:rPr>
        <w:t xml:space="preserve">Overview </w:t>
      </w:r>
      <w:r w:rsidR="003902C4" w:rsidRPr="000559FF">
        <w:rPr>
          <w:rFonts w:cs="Times New Roman"/>
          <w:b/>
          <w:lang w:val="en-GB"/>
        </w:rPr>
        <w:t xml:space="preserve">of Findings: </w:t>
      </w:r>
      <w:r w:rsidR="004F3BD3">
        <w:rPr>
          <w:rFonts w:cs="Times New Roman"/>
          <w:b/>
          <w:lang w:val="en-GB"/>
        </w:rPr>
        <w:t>disenablers</w:t>
      </w:r>
      <w:r w:rsidR="003902C4" w:rsidRPr="000559FF">
        <w:rPr>
          <w:rFonts w:cs="Times New Roman"/>
          <w:b/>
          <w:lang w:val="en-GB"/>
        </w:rPr>
        <w:t xml:space="preserve"> of effective participation:</w:t>
      </w:r>
    </w:p>
    <w:tbl>
      <w:tblPr>
        <w:tblStyle w:val="TableGrid"/>
        <w:tblW w:w="0" w:type="auto"/>
        <w:tblInd w:w="-113" w:type="dxa"/>
        <w:tblLook w:val="04A0" w:firstRow="1" w:lastRow="0" w:firstColumn="1" w:lastColumn="0" w:noHBand="0" w:noVBand="1"/>
      </w:tblPr>
      <w:tblGrid>
        <w:gridCol w:w="2518"/>
        <w:gridCol w:w="3119"/>
        <w:gridCol w:w="3492"/>
      </w:tblGrid>
      <w:tr w:rsidR="007E0E79" w:rsidRPr="000559FF" w14:paraId="35EFBB15" w14:textId="77777777" w:rsidTr="007E0E79">
        <w:tc>
          <w:tcPr>
            <w:tcW w:w="2518" w:type="dxa"/>
            <w:tcBorders>
              <w:bottom w:val="single" w:sz="4" w:space="0" w:color="auto"/>
            </w:tcBorders>
          </w:tcPr>
          <w:p w14:paraId="18B623E6" w14:textId="77777777" w:rsidR="007E0E79" w:rsidRPr="000559FF" w:rsidRDefault="007E0E79" w:rsidP="00A7709A">
            <w:pPr>
              <w:rPr>
                <w:b/>
                <w:sz w:val="24"/>
                <w:lang w:val="en-GB"/>
              </w:rPr>
            </w:pPr>
            <w:r w:rsidRPr="000559FF">
              <w:rPr>
                <w:b/>
                <w:sz w:val="24"/>
                <w:lang w:val="en-GB"/>
              </w:rPr>
              <w:t>Context specific</w:t>
            </w:r>
          </w:p>
        </w:tc>
        <w:tc>
          <w:tcPr>
            <w:tcW w:w="3119" w:type="dxa"/>
            <w:tcBorders>
              <w:bottom w:val="single" w:sz="4" w:space="0" w:color="auto"/>
            </w:tcBorders>
          </w:tcPr>
          <w:p w14:paraId="1E8BED0C" w14:textId="77777777" w:rsidR="007E0E79" w:rsidRPr="000559FF" w:rsidRDefault="007E0E79" w:rsidP="00A7709A">
            <w:pPr>
              <w:rPr>
                <w:b/>
                <w:sz w:val="24"/>
                <w:lang w:val="en-GB"/>
              </w:rPr>
            </w:pPr>
            <w:r w:rsidRPr="000559FF">
              <w:rPr>
                <w:b/>
                <w:sz w:val="24"/>
                <w:lang w:val="en-GB"/>
              </w:rPr>
              <w:t>Systemic</w:t>
            </w:r>
          </w:p>
        </w:tc>
        <w:tc>
          <w:tcPr>
            <w:tcW w:w="3492" w:type="dxa"/>
            <w:tcBorders>
              <w:bottom w:val="single" w:sz="4" w:space="0" w:color="auto"/>
            </w:tcBorders>
          </w:tcPr>
          <w:p w14:paraId="7911AB90" w14:textId="77777777" w:rsidR="007E0E79" w:rsidRPr="000559FF" w:rsidRDefault="007E0E79" w:rsidP="00A7709A">
            <w:pPr>
              <w:rPr>
                <w:b/>
                <w:sz w:val="24"/>
                <w:lang w:val="en-GB"/>
              </w:rPr>
            </w:pPr>
            <w:r w:rsidRPr="000559FF">
              <w:rPr>
                <w:b/>
                <w:sz w:val="24"/>
                <w:lang w:val="en-GB"/>
              </w:rPr>
              <w:t>Organisational</w:t>
            </w:r>
          </w:p>
        </w:tc>
      </w:tr>
      <w:tr w:rsidR="007E0E79" w:rsidRPr="009C52C7" w14:paraId="0D959B9A" w14:textId="77777777" w:rsidTr="007E0E79">
        <w:tc>
          <w:tcPr>
            <w:tcW w:w="2518" w:type="dxa"/>
            <w:tcBorders>
              <w:bottom w:val="nil"/>
            </w:tcBorders>
          </w:tcPr>
          <w:p w14:paraId="48E8F390" w14:textId="77777777" w:rsidR="007E0E79" w:rsidRPr="000559FF" w:rsidRDefault="007E0E79" w:rsidP="00A7709A">
            <w:pPr>
              <w:rPr>
                <w:b/>
                <w:sz w:val="24"/>
                <w:lang w:val="en-GB"/>
              </w:rPr>
            </w:pPr>
          </w:p>
          <w:p w14:paraId="2BD4BA79" w14:textId="69B370A0" w:rsidR="007C081B" w:rsidRPr="000559FF" w:rsidRDefault="007C081B" w:rsidP="00A7709A">
            <w:pPr>
              <w:numPr>
                <w:ilvl w:val="0"/>
                <w:numId w:val="15"/>
              </w:numPr>
              <w:rPr>
                <w:lang w:val="en-GB"/>
              </w:rPr>
            </w:pPr>
            <w:r w:rsidRPr="000559FF">
              <w:rPr>
                <w:lang w:val="en-GB"/>
              </w:rPr>
              <w:t>Lack of w</w:t>
            </w:r>
            <w:r w:rsidR="000B1EE7" w:rsidRPr="000559FF">
              <w:rPr>
                <w:lang w:val="en-GB"/>
              </w:rPr>
              <w:t xml:space="preserve">omen and children’s </w:t>
            </w:r>
            <w:r w:rsidRPr="000559FF">
              <w:rPr>
                <w:lang w:val="en-GB"/>
              </w:rPr>
              <w:t>voice</w:t>
            </w:r>
            <w:r w:rsidR="00564C2A" w:rsidRPr="000559FF">
              <w:rPr>
                <w:lang w:val="en-GB"/>
              </w:rPr>
              <w:t>s</w:t>
            </w:r>
            <w:r w:rsidRPr="000559FF">
              <w:rPr>
                <w:lang w:val="en-GB"/>
              </w:rPr>
              <w:t xml:space="preserve"> and influence in public space</w:t>
            </w:r>
          </w:p>
          <w:p w14:paraId="1B0281A9" w14:textId="3E22A68E" w:rsidR="007E0E79" w:rsidRPr="000559FF" w:rsidRDefault="007C081B" w:rsidP="00A7709A">
            <w:pPr>
              <w:numPr>
                <w:ilvl w:val="0"/>
                <w:numId w:val="15"/>
              </w:numPr>
              <w:rPr>
                <w:lang w:val="en-GB"/>
              </w:rPr>
            </w:pPr>
            <w:r w:rsidRPr="000559FF">
              <w:rPr>
                <w:lang w:val="en-GB"/>
              </w:rPr>
              <w:t xml:space="preserve">Authorities and affected communities </w:t>
            </w:r>
            <w:r w:rsidR="00A7709A" w:rsidRPr="000559FF">
              <w:rPr>
                <w:lang w:val="en-GB"/>
              </w:rPr>
              <w:t>with</w:t>
            </w:r>
            <w:r w:rsidRPr="000559FF">
              <w:rPr>
                <w:lang w:val="en-GB"/>
              </w:rPr>
              <w:t xml:space="preserve"> h</w:t>
            </w:r>
            <w:r w:rsidR="007E0E79" w:rsidRPr="000559FF">
              <w:rPr>
                <w:lang w:val="en-GB"/>
              </w:rPr>
              <w:t>ierarchical top down practice</w:t>
            </w:r>
            <w:r w:rsidRPr="000559FF">
              <w:rPr>
                <w:lang w:val="en-GB"/>
              </w:rPr>
              <w:t>s</w:t>
            </w:r>
            <w:r w:rsidR="007E0E79" w:rsidRPr="000559FF">
              <w:rPr>
                <w:lang w:val="en-GB"/>
              </w:rPr>
              <w:t xml:space="preserve"> of governance</w:t>
            </w:r>
          </w:p>
          <w:p w14:paraId="4A34F1BB" w14:textId="77777777" w:rsidR="007E0E79" w:rsidRPr="000559FF" w:rsidRDefault="007E0E79" w:rsidP="00A7709A">
            <w:pPr>
              <w:numPr>
                <w:ilvl w:val="0"/>
                <w:numId w:val="15"/>
              </w:numPr>
              <w:rPr>
                <w:lang w:val="en-GB"/>
              </w:rPr>
            </w:pPr>
            <w:r w:rsidRPr="000559FF">
              <w:rPr>
                <w:lang w:val="en-GB"/>
              </w:rPr>
              <w:t>Tension between participation of affected people and participation of government.</w:t>
            </w:r>
          </w:p>
          <w:p w14:paraId="6C2A7BC2" w14:textId="77777777" w:rsidR="007E0E79" w:rsidRPr="000559FF" w:rsidRDefault="007E0E79" w:rsidP="00A7709A">
            <w:pPr>
              <w:rPr>
                <w:b/>
                <w:sz w:val="24"/>
                <w:lang w:val="en-GB"/>
              </w:rPr>
            </w:pPr>
          </w:p>
        </w:tc>
        <w:tc>
          <w:tcPr>
            <w:tcW w:w="3119" w:type="dxa"/>
            <w:tcBorders>
              <w:bottom w:val="nil"/>
            </w:tcBorders>
          </w:tcPr>
          <w:p w14:paraId="34DA9FBD" w14:textId="77777777" w:rsidR="007E0E79" w:rsidRPr="000559FF" w:rsidRDefault="007E0E79" w:rsidP="00A7709A">
            <w:pPr>
              <w:ind w:left="720"/>
              <w:rPr>
                <w:lang w:val="en-GB"/>
              </w:rPr>
            </w:pPr>
          </w:p>
          <w:p w14:paraId="422EDC9E" w14:textId="0B707787" w:rsidR="007E0E79" w:rsidRPr="000559FF" w:rsidRDefault="00285291" w:rsidP="00A7709A">
            <w:pPr>
              <w:numPr>
                <w:ilvl w:val="0"/>
                <w:numId w:val="15"/>
              </w:numPr>
              <w:rPr>
                <w:lang w:val="en-GB"/>
              </w:rPr>
            </w:pPr>
            <w:r w:rsidRPr="000559FF">
              <w:rPr>
                <w:lang w:val="en-GB"/>
              </w:rPr>
              <w:t>Centralis</w:t>
            </w:r>
            <w:r w:rsidR="007E0E79" w:rsidRPr="000559FF">
              <w:rPr>
                <w:lang w:val="en-GB"/>
              </w:rPr>
              <w:t>ation</w:t>
            </w:r>
            <w:r w:rsidR="003902C4" w:rsidRPr="000559FF">
              <w:rPr>
                <w:lang w:val="en-GB"/>
              </w:rPr>
              <w:t xml:space="preserve"> of decision making by UN lead </w:t>
            </w:r>
            <w:r w:rsidR="007C081B" w:rsidRPr="000559FF">
              <w:rPr>
                <w:lang w:val="en-GB"/>
              </w:rPr>
              <w:t>a</w:t>
            </w:r>
            <w:r w:rsidRPr="000559FF">
              <w:rPr>
                <w:lang w:val="en-GB"/>
              </w:rPr>
              <w:t>gency and/or cluster c</w:t>
            </w:r>
            <w:r w:rsidR="007E0E79" w:rsidRPr="000559FF">
              <w:rPr>
                <w:lang w:val="en-GB"/>
              </w:rPr>
              <w:t xml:space="preserve">oordinator on issues such as priority interventions, numbers of beneficiaries, targeting criteria, etc. </w:t>
            </w:r>
          </w:p>
          <w:p w14:paraId="1AD273C4" w14:textId="2F621660" w:rsidR="007A2AAF" w:rsidRPr="000559FF" w:rsidRDefault="00A7709A" w:rsidP="00A7709A">
            <w:pPr>
              <w:numPr>
                <w:ilvl w:val="0"/>
                <w:numId w:val="15"/>
              </w:numPr>
              <w:tabs>
                <w:tab w:val="clear" w:pos="360"/>
              </w:tabs>
              <w:rPr>
                <w:lang w:val="en-GB"/>
              </w:rPr>
            </w:pPr>
            <w:r w:rsidRPr="000559FF">
              <w:rPr>
                <w:lang w:val="en-GB"/>
              </w:rPr>
              <w:t>Funding of participation is project-based and sectoral</w:t>
            </w:r>
            <w:r w:rsidR="007E0E79" w:rsidRPr="000559FF">
              <w:rPr>
                <w:lang w:val="en-GB"/>
              </w:rPr>
              <w:t xml:space="preserve"> </w:t>
            </w:r>
          </w:p>
          <w:p w14:paraId="16AFDBEE" w14:textId="77777777" w:rsidR="007A2AAF" w:rsidRPr="000559FF" w:rsidRDefault="007A2AAF" w:rsidP="00A7709A">
            <w:pPr>
              <w:numPr>
                <w:ilvl w:val="0"/>
                <w:numId w:val="15"/>
              </w:numPr>
              <w:rPr>
                <w:lang w:val="en-GB"/>
              </w:rPr>
            </w:pPr>
            <w:r w:rsidRPr="000559FF">
              <w:rPr>
                <w:lang w:val="en-GB"/>
              </w:rPr>
              <w:t>Short term and unpredictable funding</w:t>
            </w:r>
          </w:p>
          <w:p w14:paraId="7394F600" w14:textId="77777777" w:rsidR="007A2AAF" w:rsidRPr="000559FF" w:rsidRDefault="007A2AAF" w:rsidP="00A7709A">
            <w:pPr>
              <w:numPr>
                <w:ilvl w:val="0"/>
                <w:numId w:val="15"/>
              </w:numPr>
              <w:rPr>
                <w:lang w:val="en-GB"/>
              </w:rPr>
            </w:pPr>
            <w:r w:rsidRPr="000559FF">
              <w:rPr>
                <w:lang w:val="en-GB"/>
              </w:rPr>
              <w:t>Insufficient funding</w:t>
            </w:r>
          </w:p>
          <w:p w14:paraId="34AE5536" w14:textId="5E838918" w:rsidR="007A2AAF" w:rsidRPr="000559FF" w:rsidRDefault="007A2AAF" w:rsidP="00A7709A">
            <w:pPr>
              <w:numPr>
                <w:ilvl w:val="0"/>
                <w:numId w:val="15"/>
              </w:numPr>
              <w:rPr>
                <w:lang w:val="en-GB"/>
              </w:rPr>
            </w:pPr>
            <w:r w:rsidRPr="000559FF">
              <w:rPr>
                <w:rFonts w:cs="Times New Roman"/>
                <w:lang w:val="en-GB"/>
              </w:rPr>
              <w:t>Delays in the grant allocation process</w:t>
            </w:r>
            <w:r w:rsidR="00A7709A" w:rsidRPr="000559FF">
              <w:rPr>
                <w:rFonts w:cs="Times New Roman"/>
                <w:lang w:val="en-GB"/>
              </w:rPr>
              <w:t>es</w:t>
            </w:r>
            <w:r w:rsidRPr="000559FF">
              <w:rPr>
                <w:rFonts w:cs="Times New Roman"/>
                <w:lang w:val="en-GB"/>
              </w:rPr>
              <w:t xml:space="preserve"> which creates frustration with affected people, and breaks the trust that they might have had in organisations.</w:t>
            </w:r>
          </w:p>
          <w:p w14:paraId="0A1624B2" w14:textId="2D03556F" w:rsidR="007A2AAF" w:rsidRPr="000559FF" w:rsidRDefault="007A2AAF" w:rsidP="00951CE5">
            <w:pPr>
              <w:numPr>
                <w:ilvl w:val="0"/>
                <w:numId w:val="15"/>
              </w:numPr>
              <w:rPr>
                <w:lang w:val="en-GB"/>
              </w:rPr>
            </w:pPr>
            <w:r w:rsidRPr="000559FF">
              <w:rPr>
                <w:lang w:val="en-GB"/>
              </w:rPr>
              <w:t>Competition for resources across sectors</w:t>
            </w:r>
            <w:r w:rsidR="00285291" w:rsidRPr="000559FF">
              <w:rPr>
                <w:lang w:val="en-GB"/>
              </w:rPr>
              <w:t xml:space="preserve"> and organis</w:t>
            </w:r>
            <w:r w:rsidRPr="000559FF">
              <w:rPr>
                <w:lang w:val="en-GB"/>
              </w:rPr>
              <w:t>ations</w:t>
            </w:r>
          </w:p>
        </w:tc>
        <w:tc>
          <w:tcPr>
            <w:tcW w:w="3492" w:type="dxa"/>
            <w:tcBorders>
              <w:bottom w:val="nil"/>
            </w:tcBorders>
          </w:tcPr>
          <w:p w14:paraId="0E8A842E" w14:textId="77777777" w:rsidR="007E0E79" w:rsidRPr="000559FF" w:rsidRDefault="007E0E79" w:rsidP="00A7709A">
            <w:pPr>
              <w:ind w:left="720"/>
              <w:rPr>
                <w:lang w:val="en-GB"/>
              </w:rPr>
            </w:pPr>
          </w:p>
          <w:p w14:paraId="72FD7F12" w14:textId="77777777" w:rsidR="007E0E79" w:rsidRPr="000559FF" w:rsidRDefault="007E0E79" w:rsidP="00A7709A">
            <w:pPr>
              <w:pStyle w:val="ListParagraph"/>
              <w:numPr>
                <w:ilvl w:val="0"/>
                <w:numId w:val="16"/>
              </w:numPr>
              <w:rPr>
                <w:lang w:val="en-GB"/>
              </w:rPr>
            </w:pPr>
            <w:r w:rsidRPr="000559FF">
              <w:rPr>
                <w:lang w:val="en-GB"/>
              </w:rPr>
              <w:t>Limited will and ability to understand affected people’s culture and social structures.</w:t>
            </w:r>
          </w:p>
          <w:p w14:paraId="0200D5BF" w14:textId="77777777" w:rsidR="007A2AAF" w:rsidRPr="000559FF" w:rsidRDefault="007A2AAF" w:rsidP="00A7709A">
            <w:pPr>
              <w:numPr>
                <w:ilvl w:val="0"/>
                <w:numId w:val="16"/>
              </w:numPr>
              <w:rPr>
                <w:lang w:val="en-GB"/>
              </w:rPr>
            </w:pPr>
            <w:r w:rsidRPr="000559FF">
              <w:rPr>
                <w:rFonts w:cs="Times New Roman"/>
                <w:lang w:val="en-GB"/>
              </w:rPr>
              <w:t xml:space="preserve">Limited efforts towards child participation, even when </w:t>
            </w:r>
            <w:r w:rsidR="00D24C69" w:rsidRPr="000559FF">
              <w:rPr>
                <w:rFonts w:cs="Times New Roman"/>
                <w:lang w:val="en-GB"/>
              </w:rPr>
              <w:t>c</w:t>
            </w:r>
            <w:r w:rsidRPr="000559FF">
              <w:rPr>
                <w:rFonts w:cs="Times New Roman"/>
                <w:lang w:val="en-GB"/>
              </w:rPr>
              <w:t>hildren represent most of the affected population and are eager to be involved in the life of their community</w:t>
            </w:r>
          </w:p>
          <w:p w14:paraId="7514ABC4" w14:textId="20F82CB4" w:rsidR="007A2AAF" w:rsidRPr="000559FF" w:rsidRDefault="007A2AAF" w:rsidP="00A7709A">
            <w:pPr>
              <w:numPr>
                <w:ilvl w:val="0"/>
                <w:numId w:val="16"/>
              </w:numPr>
              <w:rPr>
                <w:lang w:val="en-GB"/>
              </w:rPr>
            </w:pPr>
            <w:r w:rsidRPr="000559FF">
              <w:rPr>
                <w:rFonts w:cs="Times New Roman"/>
                <w:lang w:val="en-GB"/>
              </w:rPr>
              <w:t>G</w:t>
            </w:r>
            <w:r w:rsidR="00285291" w:rsidRPr="000559FF">
              <w:rPr>
                <w:rFonts w:cs="Times New Roman"/>
                <w:lang w:val="en-GB"/>
              </w:rPr>
              <w:t>ender</w:t>
            </w:r>
            <w:r w:rsidR="00A7709A" w:rsidRPr="000559FF">
              <w:rPr>
                <w:rFonts w:cs="Times New Roman"/>
                <w:lang w:val="en-GB"/>
              </w:rPr>
              <w:t xml:space="preserve"> </w:t>
            </w:r>
            <w:r w:rsidRPr="000559FF">
              <w:rPr>
                <w:rFonts w:cs="Times New Roman"/>
                <w:lang w:val="en-GB"/>
              </w:rPr>
              <w:t xml:space="preserve">narrowed down to specific </w:t>
            </w:r>
            <w:r w:rsidR="00285291" w:rsidRPr="000559FF">
              <w:rPr>
                <w:rFonts w:cs="Times New Roman"/>
                <w:lang w:val="en-GB"/>
              </w:rPr>
              <w:t xml:space="preserve">pre-identified </w:t>
            </w:r>
            <w:r w:rsidRPr="000559FF">
              <w:rPr>
                <w:rFonts w:cs="Times New Roman"/>
                <w:lang w:val="en-GB"/>
              </w:rPr>
              <w:t>protection issues faced by women and girls (</w:t>
            </w:r>
            <w:r w:rsidR="00A7709A" w:rsidRPr="000559FF">
              <w:rPr>
                <w:rFonts w:cs="Times New Roman"/>
                <w:lang w:val="en-GB"/>
              </w:rPr>
              <w:t xml:space="preserve">such as </w:t>
            </w:r>
            <w:r w:rsidRPr="000559FF">
              <w:rPr>
                <w:rFonts w:cs="Times New Roman"/>
                <w:lang w:val="en-GB"/>
              </w:rPr>
              <w:t>for example Gender Based Violence, early marriage, etc.)</w:t>
            </w:r>
          </w:p>
          <w:p w14:paraId="0683E930" w14:textId="11A395C8" w:rsidR="007E0E79" w:rsidRPr="000559FF" w:rsidRDefault="007A2AAF" w:rsidP="00951CE5">
            <w:pPr>
              <w:pStyle w:val="ListParagraph"/>
              <w:numPr>
                <w:ilvl w:val="0"/>
                <w:numId w:val="16"/>
              </w:numPr>
              <w:rPr>
                <w:lang w:val="en-GB"/>
              </w:rPr>
            </w:pPr>
            <w:r w:rsidRPr="000559FF">
              <w:rPr>
                <w:lang w:val="en-GB"/>
              </w:rPr>
              <w:t xml:space="preserve">A sectoral approach to the </w:t>
            </w:r>
            <w:r w:rsidR="007E0E79" w:rsidRPr="000559FF">
              <w:rPr>
                <w:lang w:val="en-GB"/>
              </w:rPr>
              <w:t>project cycle</w:t>
            </w:r>
            <w:r w:rsidRPr="000559FF">
              <w:rPr>
                <w:lang w:val="en-GB"/>
              </w:rPr>
              <w:t xml:space="preserve">, including in terms of </w:t>
            </w:r>
            <w:r w:rsidR="007E0E79" w:rsidRPr="000559FF">
              <w:rPr>
                <w:lang w:val="en-GB"/>
              </w:rPr>
              <w:t>resour</w:t>
            </w:r>
            <w:r w:rsidR="00CD750A" w:rsidRPr="000559FF">
              <w:rPr>
                <w:lang w:val="en-GB"/>
              </w:rPr>
              <w:t>c</w:t>
            </w:r>
            <w:r w:rsidR="007E0E79" w:rsidRPr="000559FF">
              <w:rPr>
                <w:lang w:val="en-GB"/>
              </w:rPr>
              <w:t>ing</w:t>
            </w:r>
          </w:p>
        </w:tc>
      </w:tr>
      <w:tr w:rsidR="007E0E79" w:rsidRPr="009C52C7" w14:paraId="3E371D74" w14:textId="77777777" w:rsidTr="007E0E79">
        <w:tc>
          <w:tcPr>
            <w:tcW w:w="2518" w:type="dxa"/>
            <w:tcBorders>
              <w:top w:val="nil"/>
              <w:bottom w:val="single" w:sz="4" w:space="0" w:color="auto"/>
            </w:tcBorders>
          </w:tcPr>
          <w:p w14:paraId="3F7F0929" w14:textId="77777777" w:rsidR="007E0E79" w:rsidRPr="000559FF" w:rsidRDefault="007E0E79" w:rsidP="00A7709A">
            <w:pPr>
              <w:rPr>
                <w:b/>
                <w:sz w:val="24"/>
                <w:lang w:val="en-GB"/>
              </w:rPr>
            </w:pPr>
          </w:p>
        </w:tc>
        <w:tc>
          <w:tcPr>
            <w:tcW w:w="6611" w:type="dxa"/>
            <w:gridSpan w:val="2"/>
            <w:tcBorders>
              <w:top w:val="nil"/>
              <w:bottom w:val="single" w:sz="4" w:space="0" w:color="auto"/>
            </w:tcBorders>
          </w:tcPr>
          <w:p w14:paraId="078F35CD" w14:textId="77777777" w:rsidR="00D24C69" w:rsidRPr="000559FF" w:rsidRDefault="00D24C69" w:rsidP="00D55467">
            <w:pPr>
              <w:numPr>
                <w:ilvl w:val="0"/>
                <w:numId w:val="15"/>
              </w:numPr>
              <w:rPr>
                <w:lang w:val="en-GB"/>
              </w:rPr>
            </w:pPr>
            <w:r w:rsidRPr="000559FF">
              <w:rPr>
                <w:lang w:val="en-GB"/>
              </w:rPr>
              <w:t>Different understanding of participation and different capacities to implement participation across organisations</w:t>
            </w:r>
          </w:p>
          <w:p w14:paraId="1C0FAD07" w14:textId="77777777" w:rsidR="00D24C69" w:rsidRPr="000559FF" w:rsidRDefault="00D24C69" w:rsidP="00D55467">
            <w:pPr>
              <w:numPr>
                <w:ilvl w:val="0"/>
                <w:numId w:val="15"/>
              </w:numPr>
              <w:rPr>
                <w:lang w:val="en-GB"/>
              </w:rPr>
            </w:pPr>
            <w:r w:rsidRPr="000559FF">
              <w:rPr>
                <w:lang w:val="en-GB"/>
              </w:rPr>
              <w:t>Low participation at the initial stage of the response, as rapidity of response is prioritised</w:t>
            </w:r>
          </w:p>
          <w:p w14:paraId="206D97D2" w14:textId="02EC17E8" w:rsidR="007E0E79" w:rsidRPr="000559FF" w:rsidRDefault="00A7709A" w:rsidP="00D55467">
            <w:pPr>
              <w:numPr>
                <w:ilvl w:val="0"/>
                <w:numId w:val="15"/>
              </w:numPr>
              <w:rPr>
                <w:lang w:val="en-GB"/>
              </w:rPr>
            </w:pPr>
            <w:r w:rsidRPr="000559FF">
              <w:rPr>
                <w:lang w:val="en-GB"/>
              </w:rPr>
              <w:t>Programme t</w:t>
            </w:r>
            <w:r w:rsidR="007E0E79" w:rsidRPr="000559FF">
              <w:rPr>
                <w:lang w:val="en-GB"/>
              </w:rPr>
              <w:t xml:space="preserve">argets and </w:t>
            </w:r>
            <w:r w:rsidRPr="000559FF">
              <w:rPr>
                <w:lang w:val="en-GB"/>
              </w:rPr>
              <w:t xml:space="preserve">success </w:t>
            </w:r>
            <w:r w:rsidR="007E0E79" w:rsidRPr="000559FF">
              <w:rPr>
                <w:lang w:val="en-GB"/>
              </w:rPr>
              <w:t xml:space="preserve">indicators focus on numbers of beneficiaries, cost per beneficiary, etc. </w:t>
            </w:r>
            <w:r w:rsidRPr="000559FF">
              <w:rPr>
                <w:lang w:val="en-GB"/>
              </w:rPr>
              <w:t xml:space="preserve">and </w:t>
            </w:r>
            <w:r w:rsidR="007E0E79" w:rsidRPr="000559FF">
              <w:rPr>
                <w:lang w:val="en-GB"/>
              </w:rPr>
              <w:t>do not facilitate reporting on participation outcomes</w:t>
            </w:r>
          </w:p>
          <w:p w14:paraId="4003EEAA" w14:textId="77777777" w:rsidR="00D55467" w:rsidRPr="000559FF" w:rsidRDefault="00D55467" w:rsidP="00D55467">
            <w:pPr>
              <w:numPr>
                <w:ilvl w:val="0"/>
                <w:numId w:val="15"/>
              </w:numPr>
              <w:rPr>
                <w:lang w:val="en-GB"/>
              </w:rPr>
            </w:pPr>
            <w:r w:rsidRPr="000559FF">
              <w:rPr>
                <w:lang w:val="en-GB"/>
              </w:rPr>
              <w:t>Too many different participation related reporting requirements</w:t>
            </w:r>
            <w:r w:rsidRPr="000559FF">
              <w:rPr>
                <w:rStyle w:val="FootnoteReference"/>
                <w:lang w:val="en-GB"/>
              </w:rPr>
              <w:footnoteReference w:id="4"/>
            </w:r>
            <w:r w:rsidRPr="000559FF">
              <w:rPr>
                <w:lang w:val="en-GB"/>
              </w:rPr>
              <w:t xml:space="preserve"> (internal and external)</w:t>
            </w:r>
          </w:p>
          <w:p w14:paraId="2766288F" w14:textId="06968E99" w:rsidR="00D24C69" w:rsidRPr="000559FF" w:rsidRDefault="00D24C69" w:rsidP="00D55467">
            <w:pPr>
              <w:numPr>
                <w:ilvl w:val="0"/>
                <w:numId w:val="15"/>
              </w:numPr>
              <w:rPr>
                <w:lang w:val="en-GB"/>
              </w:rPr>
            </w:pPr>
            <w:r w:rsidRPr="000559FF">
              <w:rPr>
                <w:lang w:val="en-GB"/>
              </w:rPr>
              <w:t xml:space="preserve">Focus on </w:t>
            </w:r>
            <w:r w:rsidR="00A7709A" w:rsidRPr="000559FF">
              <w:rPr>
                <w:lang w:val="en-GB"/>
              </w:rPr>
              <w:t xml:space="preserve">geographical </w:t>
            </w:r>
            <w:r w:rsidRPr="000559FF">
              <w:rPr>
                <w:lang w:val="en-GB"/>
              </w:rPr>
              <w:t xml:space="preserve">areas </w:t>
            </w:r>
            <w:r w:rsidR="00A7709A" w:rsidRPr="000559FF">
              <w:rPr>
                <w:lang w:val="en-GB"/>
              </w:rPr>
              <w:t xml:space="preserve">of operation </w:t>
            </w:r>
            <w:r w:rsidRPr="000559FF">
              <w:rPr>
                <w:lang w:val="en-GB"/>
              </w:rPr>
              <w:t>which are accessible, resourced and provide visibility rather than on areas where needs are highest (in contradiction with the principle of impartiality)</w:t>
            </w:r>
          </w:p>
          <w:p w14:paraId="152EC48D" w14:textId="77777777" w:rsidR="007E0E79" w:rsidRPr="000559FF" w:rsidRDefault="007E0E79" w:rsidP="00D55467">
            <w:pPr>
              <w:numPr>
                <w:ilvl w:val="0"/>
                <w:numId w:val="15"/>
              </w:numPr>
              <w:rPr>
                <w:lang w:val="en-GB"/>
              </w:rPr>
            </w:pPr>
            <w:r w:rsidRPr="000559FF">
              <w:rPr>
                <w:lang w:val="en-GB"/>
              </w:rPr>
              <w:t>Limited access to affected people because of inadequate security or security management</w:t>
            </w:r>
          </w:p>
        </w:tc>
      </w:tr>
    </w:tbl>
    <w:p w14:paraId="6371C8E0" w14:textId="77777777" w:rsidR="007E0E79" w:rsidRPr="000559FF" w:rsidRDefault="007E0E79" w:rsidP="00A7709A">
      <w:pPr>
        <w:spacing w:after="0" w:line="240" w:lineRule="auto"/>
        <w:rPr>
          <w:rFonts w:eastAsia="Times New Roman"/>
          <w:b/>
          <w:lang w:val="en-GB"/>
        </w:rPr>
      </w:pPr>
    </w:p>
    <w:p w14:paraId="2D280744" w14:textId="6A305CFA" w:rsidR="003902C4" w:rsidRPr="000559FF" w:rsidRDefault="003F0DB0" w:rsidP="00A7709A">
      <w:pPr>
        <w:rPr>
          <w:rFonts w:cs="Times New Roman"/>
          <w:b/>
          <w:lang w:val="en-GB"/>
        </w:rPr>
      </w:pPr>
      <w:r w:rsidRPr="000559FF">
        <w:rPr>
          <w:rFonts w:cs="Times New Roman"/>
          <w:b/>
          <w:lang w:val="en-GB"/>
        </w:rPr>
        <w:t>Specific issues</w:t>
      </w:r>
      <w:r w:rsidR="003902C4" w:rsidRPr="000559FF">
        <w:rPr>
          <w:rFonts w:cs="Times New Roman"/>
          <w:b/>
          <w:lang w:val="en-GB"/>
        </w:rPr>
        <w:t xml:space="preserve">, deemed to be critical to unlocking key </w:t>
      </w:r>
      <w:r w:rsidR="004F3BD3" w:rsidRPr="000559FF">
        <w:rPr>
          <w:rFonts w:cs="Times New Roman"/>
          <w:b/>
          <w:lang w:val="en-GB"/>
        </w:rPr>
        <w:t>disenablers</w:t>
      </w:r>
      <w:r w:rsidR="003902C4" w:rsidRPr="000559FF">
        <w:rPr>
          <w:rFonts w:cs="Times New Roman"/>
          <w:b/>
          <w:lang w:val="en-GB"/>
        </w:rPr>
        <w:t>.</w:t>
      </w:r>
    </w:p>
    <w:p w14:paraId="73AB770B" w14:textId="3669BDF9" w:rsidR="007C081B" w:rsidRPr="000559FF" w:rsidRDefault="007C081B" w:rsidP="00A7709A">
      <w:pPr>
        <w:rPr>
          <w:rFonts w:cs="Times New Roman"/>
          <w:lang w:val="en-GB"/>
        </w:rPr>
      </w:pPr>
      <w:r w:rsidRPr="000559FF">
        <w:rPr>
          <w:rFonts w:cs="Times New Roman"/>
          <w:lang w:val="en-GB"/>
        </w:rPr>
        <w:t>This section goes into more</w:t>
      </w:r>
      <w:r w:rsidR="003F0DB0" w:rsidRPr="000559FF">
        <w:rPr>
          <w:rFonts w:cs="Times New Roman"/>
          <w:lang w:val="en-GB"/>
        </w:rPr>
        <w:t xml:space="preserve"> depth around specific issues</w:t>
      </w:r>
      <w:r w:rsidRPr="000559FF">
        <w:rPr>
          <w:rFonts w:cs="Times New Roman"/>
          <w:lang w:val="en-GB"/>
        </w:rPr>
        <w:t xml:space="preserve">, deemed to be critical to unlocking key </w:t>
      </w:r>
      <w:r w:rsidR="004F3BD3">
        <w:rPr>
          <w:rFonts w:cs="Times New Roman"/>
          <w:lang w:val="en-GB"/>
        </w:rPr>
        <w:t>disenablers</w:t>
      </w:r>
      <w:r w:rsidRPr="000559FF">
        <w:rPr>
          <w:rFonts w:cs="Times New Roman"/>
          <w:lang w:val="en-GB"/>
        </w:rPr>
        <w:t>.</w:t>
      </w:r>
    </w:p>
    <w:p w14:paraId="4CB73C96" w14:textId="317D4555" w:rsidR="006933D0" w:rsidRPr="000559FF" w:rsidRDefault="009670CF" w:rsidP="00F94C59">
      <w:pPr>
        <w:pStyle w:val="ListParagraph"/>
        <w:numPr>
          <w:ilvl w:val="0"/>
          <w:numId w:val="7"/>
        </w:numPr>
        <w:spacing w:after="0" w:line="276" w:lineRule="auto"/>
        <w:rPr>
          <w:b/>
          <w:lang w:val="en-GB"/>
        </w:rPr>
      </w:pPr>
      <w:bookmarkStart w:id="5" w:name="_Hlk496016897"/>
      <w:r w:rsidRPr="000559FF">
        <w:rPr>
          <w:b/>
          <w:lang w:val="en-GB"/>
        </w:rPr>
        <w:t xml:space="preserve">Lack of </w:t>
      </w:r>
      <w:r w:rsidR="003544D3" w:rsidRPr="000559FF">
        <w:rPr>
          <w:b/>
          <w:lang w:val="en-GB"/>
        </w:rPr>
        <w:t>a common understanding of participation and its purpose</w:t>
      </w:r>
      <w:r w:rsidR="00A7709A" w:rsidRPr="000559FF">
        <w:rPr>
          <w:b/>
          <w:lang w:val="en-GB"/>
        </w:rPr>
        <w:t xml:space="preserve"> </w:t>
      </w:r>
      <w:r w:rsidR="005F2DB9" w:rsidRPr="000559FF">
        <w:rPr>
          <w:b/>
          <w:lang w:val="en-GB"/>
        </w:rPr>
        <w:t xml:space="preserve">within and </w:t>
      </w:r>
      <w:r w:rsidR="00A7709A" w:rsidRPr="000559FF">
        <w:rPr>
          <w:b/>
          <w:lang w:val="en-GB"/>
        </w:rPr>
        <w:t xml:space="preserve">across </w:t>
      </w:r>
      <w:r w:rsidR="00070560" w:rsidRPr="000559FF">
        <w:rPr>
          <w:b/>
          <w:lang w:val="en-GB"/>
        </w:rPr>
        <w:t xml:space="preserve">stakeholders </w:t>
      </w:r>
    </w:p>
    <w:p w14:paraId="2C9C1CA9" w14:textId="3A1B0F0E" w:rsidR="005D3D01" w:rsidRPr="000559FF" w:rsidRDefault="005D3D01" w:rsidP="00A7709A">
      <w:pPr>
        <w:spacing w:after="200" w:line="276" w:lineRule="auto"/>
        <w:rPr>
          <w:rFonts w:cs="Times New Roman"/>
          <w:lang w:val="en-GB"/>
        </w:rPr>
      </w:pPr>
      <w:bookmarkStart w:id="6" w:name="_Hlk496016942"/>
      <w:bookmarkEnd w:id="5"/>
      <w:r w:rsidRPr="000559FF">
        <w:rPr>
          <w:rFonts w:cs="Times New Roman"/>
          <w:lang w:val="en-GB"/>
        </w:rPr>
        <w:t>T</w:t>
      </w:r>
      <w:r w:rsidR="001E57F0" w:rsidRPr="000559FF">
        <w:rPr>
          <w:rFonts w:cs="Times New Roman"/>
          <w:lang w:val="en-GB"/>
        </w:rPr>
        <w:t>here is</w:t>
      </w:r>
      <w:r w:rsidR="009670CF" w:rsidRPr="000559FF">
        <w:rPr>
          <w:rFonts w:cs="Times New Roman"/>
          <w:lang w:val="en-GB"/>
        </w:rPr>
        <w:t xml:space="preserve"> no</w:t>
      </w:r>
      <w:r w:rsidR="001E57F0" w:rsidRPr="000559FF">
        <w:rPr>
          <w:rFonts w:cs="Times New Roman"/>
          <w:lang w:val="en-GB"/>
        </w:rPr>
        <w:t xml:space="preserve"> a shared vision of what participation is supposed to achieve </w:t>
      </w:r>
      <w:r w:rsidR="000C3FD1" w:rsidRPr="000559FF">
        <w:rPr>
          <w:rFonts w:cs="Times New Roman"/>
          <w:lang w:val="en-GB"/>
        </w:rPr>
        <w:t xml:space="preserve">within and </w:t>
      </w:r>
      <w:r w:rsidR="001E57F0" w:rsidRPr="000559FF">
        <w:rPr>
          <w:rFonts w:cs="Times New Roman"/>
          <w:lang w:val="en-GB"/>
        </w:rPr>
        <w:t>among all the stakeholders (</w:t>
      </w:r>
      <w:r w:rsidR="009670CF" w:rsidRPr="000559FF">
        <w:rPr>
          <w:rFonts w:cs="Times New Roman"/>
          <w:lang w:val="en-GB"/>
        </w:rPr>
        <w:t>authorities, d</w:t>
      </w:r>
      <w:r w:rsidR="001E57F0" w:rsidRPr="000559FF">
        <w:rPr>
          <w:rFonts w:cs="Times New Roman"/>
          <w:lang w:val="en-GB"/>
        </w:rPr>
        <w:t>onors, UN agencies, NGOs</w:t>
      </w:r>
      <w:r w:rsidR="009670CF" w:rsidRPr="000559FF">
        <w:rPr>
          <w:rFonts w:cs="Times New Roman"/>
          <w:lang w:val="en-GB"/>
        </w:rPr>
        <w:t xml:space="preserve"> ...</w:t>
      </w:r>
      <w:r w:rsidR="001E57F0" w:rsidRPr="000559FF">
        <w:rPr>
          <w:rFonts w:cs="Times New Roman"/>
          <w:lang w:val="en-GB"/>
        </w:rPr>
        <w:t xml:space="preserve">) intervening in the same context. </w:t>
      </w:r>
      <w:r w:rsidR="002E34E2" w:rsidRPr="000559FF">
        <w:rPr>
          <w:rFonts w:cs="Times New Roman"/>
          <w:lang w:val="en-GB"/>
        </w:rPr>
        <w:t>The f</w:t>
      </w:r>
      <w:r w:rsidR="001E57F0" w:rsidRPr="000559FF">
        <w:rPr>
          <w:rFonts w:cs="Times New Roman"/>
          <w:lang w:val="en-GB"/>
        </w:rPr>
        <w:t>undamental questions</w:t>
      </w:r>
      <w:r w:rsidR="002E34E2" w:rsidRPr="000559FF">
        <w:rPr>
          <w:rFonts w:cs="Times New Roman"/>
          <w:lang w:val="en-GB"/>
        </w:rPr>
        <w:t xml:space="preserve"> of what </w:t>
      </w:r>
      <w:r w:rsidR="009670CF" w:rsidRPr="000559FF">
        <w:rPr>
          <w:rFonts w:cs="Times New Roman"/>
          <w:lang w:val="en-GB"/>
        </w:rPr>
        <w:t xml:space="preserve">participation </w:t>
      </w:r>
      <w:r w:rsidR="002E34E2" w:rsidRPr="000559FF">
        <w:rPr>
          <w:rFonts w:cs="Times New Roman"/>
          <w:lang w:val="en-GB"/>
        </w:rPr>
        <w:t xml:space="preserve">can aim to </w:t>
      </w:r>
      <w:r w:rsidR="009670CF" w:rsidRPr="000559FF">
        <w:rPr>
          <w:rFonts w:cs="Times New Roman"/>
          <w:lang w:val="en-GB"/>
        </w:rPr>
        <w:t>achieve</w:t>
      </w:r>
      <w:r w:rsidR="002E34E2" w:rsidRPr="000559FF">
        <w:rPr>
          <w:rFonts w:cs="Times New Roman"/>
          <w:lang w:val="en-GB"/>
        </w:rPr>
        <w:t xml:space="preserve"> in </w:t>
      </w:r>
      <w:r w:rsidR="00411A06" w:rsidRPr="000559FF">
        <w:rPr>
          <w:rFonts w:cs="Times New Roman"/>
          <w:lang w:val="en-GB"/>
        </w:rPr>
        <w:t xml:space="preserve">that </w:t>
      </w:r>
      <w:r w:rsidR="002E34E2" w:rsidRPr="000559FF">
        <w:rPr>
          <w:rFonts w:cs="Times New Roman"/>
          <w:lang w:val="en-GB"/>
        </w:rPr>
        <w:t xml:space="preserve">context, from </w:t>
      </w:r>
      <w:r w:rsidR="009670CF" w:rsidRPr="000559FF">
        <w:rPr>
          <w:rFonts w:cs="Times New Roman"/>
          <w:lang w:val="en-GB"/>
        </w:rPr>
        <w:t>“information sharing”</w:t>
      </w:r>
      <w:r w:rsidR="002E34E2" w:rsidRPr="000559FF">
        <w:rPr>
          <w:rFonts w:cs="Times New Roman"/>
          <w:lang w:val="en-GB"/>
        </w:rPr>
        <w:t xml:space="preserve"> all the way to “</w:t>
      </w:r>
      <w:r w:rsidR="003F0DB0" w:rsidRPr="000559FF">
        <w:rPr>
          <w:rFonts w:cs="Times New Roman"/>
          <w:lang w:val="en-GB"/>
        </w:rPr>
        <w:t>joint decision - making</w:t>
      </w:r>
      <w:r w:rsidR="009670CF" w:rsidRPr="000559FF">
        <w:rPr>
          <w:rFonts w:cs="Times New Roman"/>
          <w:lang w:val="en-GB"/>
        </w:rPr>
        <w:t>”</w:t>
      </w:r>
      <w:r w:rsidR="000559FF">
        <w:rPr>
          <w:rFonts w:cs="Times New Roman"/>
          <w:lang w:val="en-GB"/>
        </w:rPr>
        <w:t>,</w:t>
      </w:r>
      <w:r w:rsidR="002E34E2" w:rsidRPr="000559FF">
        <w:rPr>
          <w:rFonts w:cs="Times New Roman"/>
          <w:lang w:val="en-GB"/>
        </w:rPr>
        <w:t xml:space="preserve"> or </w:t>
      </w:r>
      <w:r w:rsidR="003F0DB0" w:rsidRPr="000559FF">
        <w:rPr>
          <w:rFonts w:cs="Times New Roman"/>
          <w:lang w:val="en-GB"/>
        </w:rPr>
        <w:t xml:space="preserve">of </w:t>
      </w:r>
      <w:r w:rsidR="002E34E2" w:rsidRPr="000559FF">
        <w:rPr>
          <w:rFonts w:cs="Times New Roman"/>
          <w:lang w:val="en-GB"/>
        </w:rPr>
        <w:t>how success is going to be measured</w:t>
      </w:r>
      <w:r w:rsidR="008D5795" w:rsidRPr="000559FF">
        <w:rPr>
          <w:rFonts w:cs="Times New Roman"/>
          <w:lang w:val="en-GB"/>
        </w:rPr>
        <w:t>,</w:t>
      </w:r>
      <w:r w:rsidR="002E34E2" w:rsidRPr="000559FF">
        <w:rPr>
          <w:rFonts w:cs="Times New Roman"/>
          <w:lang w:val="en-GB"/>
        </w:rPr>
        <w:t xml:space="preserve"> are neither</w:t>
      </w:r>
      <w:r w:rsidR="00C85D82" w:rsidRPr="000559FF">
        <w:rPr>
          <w:rFonts w:cs="Times New Roman"/>
          <w:lang w:val="en-GB"/>
        </w:rPr>
        <w:t xml:space="preserve"> systematically </w:t>
      </w:r>
      <w:r w:rsidR="002E34E2" w:rsidRPr="000559FF">
        <w:rPr>
          <w:rFonts w:cs="Times New Roman"/>
          <w:lang w:val="en-GB"/>
        </w:rPr>
        <w:t>discussed</w:t>
      </w:r>
      <w:r w:rsidR="000C3FD1" w:rsidRPr="000559FF">
        <w:rPr>
          <w:rFonts w:cs="Times New Roman"/>
          <w:lang w:val="en-GB"/>
        </w:rPr>
        <w:t xml:space="preserve"> within organisations, </w:t>
      </w:r>
      <w:r w:rsidR="003F0DB0" w:rsidRPr="000559FF">
        <w:rPr>
          <w:rFonts w:cs="Times New Roman"/>
          <w:lang w:val="en-GB"/>
        </w:rPr>
        <w:t xml:space="preserve">nor </w:t>
      </w:r>
      <w:r w:rsidR="00A7709A" w:rsidRPr="000559FF">
        <w:rPr>
          <w:rFonts w:cs="Times New Roman"/>
          <w:lang w:val="en-GB"/>
        </w:rPr>
        <w:t>across</w:t>
      </w:r>
      <w:r w:rsidR="00C85D82" w:rsidRPr="000559FF">
        <w:rPr>
          <w:rFonts w:cs="Times New Roman"/>
          <w:lang w:val="en-GB"/>
        </w:rPr>
        <w:t xml:space="preserve"> organisations’</w:t>
      </w:r>
      <w:r w:rsidR="003F0DB0" w:rsidRPr="000559FF">
        <w:rPr>
          <w:rFonts w:cs="Times New Roman"/>
          <w:lang w:val="en-GB"/>
        </w:rPr>
        <w:t xml:space="preserve"> in-country </w:t>
      </w:r>
      <w:r w:rsidR="00C85D82" w:rsidRPr="000559FF">
        <w:rPr>
          <w:rFonts w:cs="Times New Roman"/>
          <w:lang w:val="en-GB"/>
        </w:rPr>
        <w:t>leaders</w:t>
      </w:r>
      <w:r w:rsidR="003F0DB0" w:rsidRPr="000559FF">
        <w:rPr>
          <w:rFonts w:cs="Times New Roman"/>
          <w:lang w:val="en-GB"/>
        </w:rPr>
        <w:t>hip</w:t>
      </w:r>
      <w:r w:rsidR="00C85D82" w:rsidRPr="000559FF">
        <w:rPr>
          <w:rStyle w:val="FootnoteReference"/>
          <w:rFonts w:cs="Times New Roman"/>
          <w:lang w:val="en-GB"/>
        </w:rPr>
        <w:footnoteReference w:id="5"/>
      </w:r>
      <w:r w:rsidR="00C85D82" w:rsidRPr="000559FF">
        <w:rPr>
          <w:rFonts w:cs="Times New Roman"/>
          <w:lang w:val="en-GB"/>
        </w:rPr>
        <w:t xml:space="preserve">, </w:t>
      </w:r>
      <w:r w:rsidR="003F0DB0" w:rsidRPr="000559FF">
        <w:rPr>
          <w:rFonts w:cs="Times New Roman"/>
          <w:lang w:val="en-GB"/>
        </w:rPr>
        <w:t xml:space="preserve">nor in </w:t>
      </w:r>
      <w:r w:rsidR="002E34E2" w:rsidRPr="000559FF">
        <w:rPr>
          <w:rFonts w:cs="Times New Roman"/>
          <w:lang w:val="en-GB"/>
        </w:rPr>
        <w:t>coordination mechanisms, nor with people affected by crisis themselves.</w:t>
      </w:r>
      <w:r w:rsidR="003F0DB0" w:rsidRPr="000559FF">
        <w:rPr>
          <w:rFonts w:cs="Times New Roman"/>
          <w:lang w:val="en-GB"/>
        </w:rPr>
        <w:t xml:space="preserve"> </w:t>
      </w:r>
      <w:r w:rsidR="002E34E2" w:rsidRPr="000559FF">
        <w:rPr>
          <w:rFonts w:cs="Times New Roman"/>
          <w:lang w:val="en-GB"/>
        </w:rPr>
        <w:t>Effectively each organisation decides on what participation is going to entail within the framework of its own activities</w:t>
      </w:r>
      <w:r w:rsidR="003F0DB0" w:rsidRPr="000559FF">
        <w:rPr>
          <w:rFonts w:cs="Times New Roman"/>
          <w:lang w:val="en-GB"/>
        </w:rPr>
        <w:t>, which often translates into a project-by-project approach</w:t>
      </w:r>
      <w:r w:rsidR="002E34E2" w:rsidRPr="000559FF">
        <w:rPr>
          <w:rFonts w:cs="Times New Roman"/>
          <w:lang w:val="en-GB"/>
        </w:rPr>
        <w:t>.</w:t>
      </w:r>
      <w:r w:rsidR="00C85D82" w:rsidRPr="000559FF">
        <w:rPr>
          <w:rFonts w:cs="Times New Roman"/>
          <w:lang w:val="en-GB"/>
        </w:rPr>
        <w:t xml:space="preserve"> </w:t>
      </w:r>
      <w:r w:rsidR="000C3FD1" w:rsidRPr="000559FF">
        <w:rPr>
          <w:rFonts w:cs="Times New Roman"/>
          <w:lang w:val="en-GB"/>
        </w:rPr>
        <w:t xml:space="preserve">The Iraq review team found that organisation’s frontline staff </w:t>
      </w:r>
      <w:r w:rsidR="00830359" w:rsidRPr="000559FF">
        <w:rPr>
          <w:rFonts w:cs="Times New Roman"/>
          <w:lang w:val="en-GB"/>
        </w:rPr>
        <w:t xml:space="preserve">understood participation as “consultation” on </w:t>
      </w:r>
      <w:r w:rsidR="00E60525" w:rsidRPr="000559FF">
        <w:rPr>
          <w:rFonts w:cs="Times New Roman"/>
          <w:lang w:val="en-GB"/>
        </w:rPr>
        <w:t>specific</w:t>
      </w:r>
      <w:r w:rsidR="00830359" w:rsidRPr="000559FF">
        <w:rPr>
          <w:rFonts w:cs="Times New Roman"/>
          <w:lang w:val="en-GB"/>
        </w:rPr>
        <w:t xml:space="preserve"> project related </w:t>
      </w:r>
      <w:r w:rsidR="003F0DB0" w:rsidRPr="000559FF">
        <w:rPr>
          <w:rFonts w:cs="Times New Roman"/>
          <w:lang w:val="en-GB"/>
        </w:rPr>
        <w:t>questions</w:t>
      </w:r>
      <w:r w:rsidR="000C3FD1" w:rsidRPr="000559FF">
        <w:rPr>
          <w:rFonts w:cs="Times New Roman"/>
          <w:lang w:val="en-GB"/>
        </w:rPr>
        <w:t xml:space="preserve">, such as for example </w:t>
      </w:r>
      <w:r w:rsidR="00E60525" w:rsidRPr="000559FF">
        <w:rPr>
          <w:rFonts w:cs="Times New Roman"/>
          <w:lang w:val="en-GB"/>
        </w:rPr>
        <w:t>supplies to be included in a hygiene voucher pack</w:t>
      </w:r>
      <w:r w:rsidR="003F0DB0" w:rsidRPr="000559FF">
        <w:rPr>
          <w:rFonts w:cs="Times New Roman"/>
          <w:lang w:val="en-GB"/>
        </w:rPr>
        <w:t xml:space="preserve"> or </w:t>
      </w:r>
      <w:r w:rsidR="00830359" w:rsidRPr="000559FF">
        <w:rPr>
          <w:rFonts w:cs="Times New Roman"/>
          <w:lang w:val="en-GB"/>
        </w:rPr>
        <w:t xml:space="preserve">distribution </w:t>
      </w:r>
      <w:r w:rsidR="003F0DB0" w:rsidRPr="000559FF">
        <w:rPr>
          <w:rFonts w:cs="Times New Roman"/>
          <w:lang w:val="en-GB"/>
        </w:rPr>
        <w:t>mo</w:t>
      </w:r>
      <w:r w:rsidR="00830359" w:rsidRPr="000559FF">
        <w:rPr>
          <w:rFonts w:cs="Times New Roman"/>
          <w:lang w:val="en-GB"/>
        </w:rPr>
        <w:t>dalities, while p</w:t>
      </w:r>
      <w:r w:rsidR="00E60525" w:rsidRPr="000559FF">
        <w:rPr>
          <w:rFonts w:cs="Times New Roman"/>
          <w:lang w:val="en-GB"/>
        </w:rPr>
        <w:t>rogramme leadership raised concerns that o</w:t>
      </w:r>
      <w:r w:rsidR="00C85D82" w:rsidRPr="000559FF">
        <w:rPr>
          <w:rFonts w:cs="Times New Roman"/>
          <w:lang w:val="en-GB"/>
        </w:rPr>
        <w:t>perational decisions are driven by the need to demonstrate “</w:t>
      </w:r>
      <w:r w:rsidR="008D5795" w:rsidRPr="000559FF">
        <w:rPr>
          <w:rFonts w:cs="Times New Roman"/>
          <w:lang w:val="en-GB"/>
        </w:rPr>
        <w:t>value for money”,</w:t>
      </w:r>
      <w:r w:rsidR="00C85D82" w:rsidRPr="000559FF">
        <w:rPr>
          <w:rFonts w:cs="Times New Roman"/>
          <w:lang w:val="en-GB"/>
        </w:rPr>
        <w:t xml:space="preserve"> the framing of which is not perceived to </w:t>
      </w:r>
      <w:r w:rsidR="008D5795" w:rsidRPr="000559FF">
        <w:rPr>
          <w:rFonts w:cs="Times New Roman"/>
          <w:lang w:val="en-GB"/>
        </w:rPr>
        <w:t xml:space="preserve">integrate participation. </w:t>
      </w:r>
    </w:p>
    <w:bookmarkEnd w:id="6"/>
    <w:p w14:paraId="2EEFEB53" w14:textId="118FD40A" w:rsidR="00A2630B" w:rsidRPr="000559FF" w:rsidRDefault="00C85D82" w:rsidP="00A7709A">
      <w:pPr>
        <w:spacing w:after="200" w:line="276" w:lineRule="auto"/>
        <w:rPr>
          <w:b/>
          <w:lang w:val="en-GB"/>
        </w:rPr>
      </w:pPr>
      <w:r w:rsidRPr="000559FF">
        <w:rPr>
          <w:lang w:val="en-GB"/>
        </w:rPr>
        <w:t xml:space="preserve">Working at developing a common understanding of what would constitute achievable participation objectives and good practices </w:t>
      </w:r>
      <w:r w:rsidR="00942D1C" w:rsidRPr="000559FF">
        <w:rPr>
          <w:lang w:val="en-GB"/>
        </w:rPr>
        <w:t>in each</w:t>
      </w:r>
      <w:r w:rsidRPr="000559FF">
        <w:rPr>
          <w:lang w:val="en-GB"/>
        </w:rPr>
        <w:t xml:space="preserve"> context could play an important part in </w:t>
      </w:r>
      <w:r w:rsidR="004C0C1C" w:rsidRPr="000559FF">
        <w:rPr>
          <w:lang w:val="en-GB"/>
        </w:rPr>
        <w:t xml:space="preserve">helping progress towards </w:t>
      </w:r>
      <w:r w:rsidRPr="000559FF">
        <w:rPr>
          <w:lang w:val="en-GB"/>
        </w:rPr>
        <w:t xml:space="preserve">participation </w:t>
      </w:r>
      <w:r w:rsidR="004C0C1C" w:rsidRPr="000559FF">
        <w:rPr>
          <w:lang w:val="en-GB"/>
        </w:rPr>
        <w:t xml:space="preserve">as an essential cross cutting </w:t>
      </w:r>
      <w:r w:rsidRPr="000559FF">
        <w:rPr>
          <w:lang w:val="en-GB"/>
        </w:rPr>
        <w:t xml:space="preserve">objective of organisations’ responses and </w:t>
      </w:r>
      <w:r w:rsidR="004C0C1C" w:rsidRPr="000559FF">
        <w:rPr>
          <w:lang w:val="en-GB"/>
        </w:rPr>
        <w:t xml:space="preserve">provide the </w:t>
      </w:r>
      <w:r w:rsidRPr="000559FF">
        <w:rPr>
          <w:lang w:val="en-GB"/>
        </w:rPr>
        <w:t>basis for solid collaboration</w:t>
      </w:r>
      <w:r w:rsidR="004C0C1C" w:rsidRPr="000559FF">
        <w:rPr>
          <w:lang w:val="en-GB"/>
        </w:rPr>
        <w:t xml:space="preserve"> and effective coordination</w:t>
      </w:r>
      <w:r w:rsidRPr="000559FF">
        <w:rPr>
          <w:lang w:val="en-GB"/>
        </w:rPr>
        <w:t xml:space="preserve">. </w:t>
      </w:r>
    </w:p>
    <w:p w14:paraId="64418C66" w14:textId="28960930" w:rsidR="004C0C1C" w:rsidRPr="000559FF" w:rsidRDefault="003921DA" w:rsidP="00F94C59">
      <w:pPr>
        <w:pStyle w:val="ListParagraph"/>
        <w:numPr>
          <w:ilvl w:val="0"/>
          <w:numId w:val="8"/>
        </w:numPr>
        <w:spacing w:after="0" w:line="276" w:lineRule="auto"/>
        <w:rPr>
          <w:lang w:val="en-GB"/>
        </w:rPr>
      </w:pPr>
      <w:bookmarkStart w:id="7" w:name="_Hlk496017091"/>
      <w:r w:rsidRPr="000559FF">
        <w:rPr>
          <w:rFonts w:cs="Times New Roman"/>
          <w:b/>
          <w:lang w:val="en-GB"/>
        </w:rPr>
        <w:t>S</w:t>
      </w:r>
      <w:r w:rsidR="001C77B8" w:rsidRPr="000559FF">
        <w:rPr>
          <w:rFonts w:cs="Times New Roman"/>
          <w:b/>
          <w:lang w:val="en-GB"/>
        </w:rPr>
        <w:t>iloed approach to participation: s</w:t>
      </w:r>
      <w:r w:rsidR="004C0C1C" w:rsidRPr="000559FF">
        <w:rPr>
          <w:rFonts w:cs="Times New Roman"/>
          <w:b/>
          <w:lang w:val="en-GB"/>
        </w:rPr>
        <w:t>ectoral and project</w:t>
      </w:r>
      <w:r w:rsidR="001C77B8" w:rsidRPr="000559FF">
        <w:rPr>
          <w:rFonts w:cs="Times New Roman"/>
          <w:b/>
          <w:lang w:val="en-GB"/>
        </w:rPr>
        <w:t>-</w:t>
      </w:r>
      <w:r w:rsidR="004C0C1C" w:rsidRPr="000559FF">
        <w:rPr>
          <w:rFonts w:cs="Times New Roman"/>
          <w:b/>
          <w:lang w:val="en-GB"/>
        </w:rPr>
        <w:t xml:space="preserve">based </w:t>
      </w:r>
      <w:r w:rsidR="001C77B8" w:rsidRPr="000559FF">
        <w:rPr>
          <w:rFonts w:cs="Times New Roman"/>
          <w:b/>
          <w:lang w:val="en-GB"/>
        </w:rPr>
        <w:t xml:space="preserve">resources and </w:t>
      </w:r>
      <w:r w:rsidR="004C0C1C" w:rsidRPr="000559FF">
        <w:rPr>
          <w:rFonts w:cs="Times New Roman"/>
          <w:b/>
          <w:lang w:val="en-GB"/>
        </w:rPr>
        <w:t xml:space="preserve">practices </w:t>
      </w:r>
    </w:p>
    <w:p w14:paraId="12C3815A" w14:textId="7AB5F4AA" w:rsidR="008C1AB0" w:rsidRPr="000559FF" w:rsidRDefault="00F74F8F" w:rsidP="004C0C1C">
      <w:pPr>
        <w:spacing w:after="200" w:line="276" w:lineRule="auto"/>
        <w:rPr>
          <w:rFonts w:cs="Times New Roman"/>
          <w:lang w:val="en-GB"/>
        </w:rPr>
      </w:pPr>
      <w:r w:rsidRPr="000559FF">
        <w:rPr>
          <w:rFonts w:cs="Times New Roman"/>
          <w:lang w:val="en-GB"/>
        </w:rPr>
        <w:t xml:space="preserve">Participation is broken down by sectors of activity and by project. This reflects </w:t>
      </w:r>
      <w:r w:rsidR="00830359" w:rsidRPr="000559FF">
        <w:rPr>
          <w:rFonts w:cs="Times New Roman"/>
          <w:lang w:val="en-GB"/>
        </w:rPr>
        <w:t xml:space="preserve">the way that funding is channelled through </w:t>
      </w:r>
      <w:r w:rsidR="00243B70" w:rsidRPr="000559FF">
        <w:rPr>
          <w:rFonts w:cs="Times New Roman"/>
          <w:lang w:val="en-GB"/>
        </w:rPr>
        <w:t xml:space="preserve">the international aid system </w:t>
      </w:r>
      <w:r w:rsidR="00830359" w:rsidRPr="000559FF">
        <w:rPr>
          <w:rFonts w:cs="Times New Roman"/>
          <w:lang w:val="en-GB"/>
        </w:rPr>
        <w:t>from the donor all the way to the implementer</w:t>
      </w:r>
      <w:r w:rsidRPr="000559FF">
        <w:rPr>
          <w:rFonts w:cs="Times New Roman"/>
          <w:lang w:val="en-GB"/>
        </w:rPr>
        <w:t>,</w:t>
      </w:r>
      <w:r w:rsidR="00243B70" w:rsidRPr="000559FF">
        <w:rPr>
          <w:rFonts w:cs="Times New Roman"/>
          <w:lang w:val="en-GB"/>
        </w:rPr>
        <w:t xml:space="preserve"> </w:t>
      </w:r>
      <w:r w:rsidRPr="000559FF">
        <w:rPr>
          <w:rFonts w:cs="Times New Roman"/>
          <w:lang w:val="en-GB"/>
        </w:rPr>
        <w:t xml:space="preserve">as well as </w:t>
      </w:r>
      <w:r w:rsidR="00830359" w:rsidRPr="000559FF">
        <w:rPr>
          <w:rFonts w:cs="Times New Roman"/>
          <w:lang w:val="en-GB"/>
        </w:rPr>
        <w:t>global coordination structures and mechanisms</w:t>
      </w:r>
      <w:r w:rsidRPr="000559FF">
        <w:rPr>
          <w:rFonts w:cs="Times New Roman"/>
          <w:lang w:val="en-GB"/>
        </w:rPr>
        <w:t xml:space="preserve">. </w:t>
      </w:r>
      <w:r w:rsidR="00243B70" w:rsidRPr="000559FF">
        <w:rPr>
          <w:rFonts w:cs="Times New Roman"/>
          <w:lang w:val="en-GB"/>
        </w:rPr>
        <w:t>Each project has its own participation resources</w:t>
      </w:r>
      <w:r w:rsidRPr="000559FF">
        <w:rPr>
          <w:rFonts w:cs="Times New Roman"/>
          <w:lang w:val="en-GB"/>
        </w:rPr>
        <w:t>, as participation is not funded as a standalone</w:t>
      </w:r>
      <w:r w:rsidR="00942D1C" w:rsidRPr="000559FF">
        <w:rPr>
          <w:rFonts w:cs="Times New Roman"/>
          <w:lang w:val="en-GB"/>
        </w:rPr>
        <w:t xml:space="preserve"> area of work</w:t>
      </w:r>
      <w:r w:rsidR="00615EA4">
        <w:rPr>
          <w:rFonts w:cs="Times New Roman"/>
          <w:lang w:val="en-GB"/>
        </w:rPr>
        <w:t xml:space="preserve"> in support of the overall programme</w:t>
      </w:r>
      <w:r w:rsidRPr="000559FF">
        <w:rPr>
          <w:rFonts w:cs="Times New Roman"/>
          <w:lang w:val="en-GB"/>
        </w:rPr>
        <w:t>, only in support of specific project objectives</w:t>
      </w:r>
      <w:r w:rsidR="00942D1C" w:rsidRPr="000559FF">
        <w:rPr>
          <w:rFonts w:cs="Times New Roman"/>
          <w:lang w:val="en-GB"/>
        </w:rPr>
        <w:t xml:space="preserve">. </w:t>
      </w:r>
    </w:p>
    <w:p w14:paraId="603B2D83" w14:textId="74B00C26" w:rsidR="00243B70" w:rsidRPr="000559FF" w:rsidRDefault="008C1AB0" w:rsidP="004C0C1C">
      <w:pPr>
        <w:spacing w:after="200" w:line="276" w:lineRule="auto"/>
        <w:rPr>
          <w:rFonts w:cs="Times New Roman"/>
          <w:lang w:val="en-GB"/>
        </w:rPr>
      </w:pPr>
      <w:r w:rsidRPr="000559FF">
        <w:rPr>
          <w:rFonts w:cs="Times New Roman"/>
          <w:lang w:val="en-GB"/>
        </w:rPr>
        <w:t xml:space="preserve">This siloed approach to </w:t>
      </w:r>
      <w:r w:rsidR="00942D1C" w:rsidRPr="000559FF">
        <w:rPr>
          <w:rFonts w:cs="Times New Roman"/>
          <w:lang w:val="en-GB"/>
        </w:rPr>
        <w:t xml:space="preserve">engagement </w:t>
      </w:r>
      <w:r w:rsidRPr="000559FF">
        <w:rPr>
          <w:rFonts w:cs="Times New Roman"/>
          <w:lang w:val="en-GB"/>
        </w:rPr>
        <w:t xml:space="preserve">with affected people is further re-enforced by the fact that there </w:t>
      </w:r>
      <w:r w:rsidR="003520FD" w:rsidRPr="000559FF">
        <w:rPr>
          <w:rFonts w:cs="Times New Roman"/>
          <w:lang w:val="en-GB"/>
        </w:rPr>
        <w:t>is</w:t>
      </w:r>
      <w:r w:rsidRPr="000559FF">
        <w:rPr>
          <w:rFonts w:cs="Times New Roman"/>
          <w:lang w:val="en-GB"/>
        </w:rPr>
        <w:t xml:space="preserve"> limited interaction </w:t>
      </w:r>
      <w:r w:rsidR="00942D1C" w:rsidRPr="000559FF">
        <w:rPr>
          <w:rFonts w:cs="Times New Roman"/>
          <w:lang w:val="en-GB"/>
        </w:rPr>
        <w:t xml:space="preserve">across sectors and </w:t>
      </w:r>
      <w:r w:rsidRPr="000559FF">
        <w:rPr>
          <w:rFonts w:cs="Times New Roman"/>
          <w:lang w:val="en-GB"/>
        </w:rPr>
        <w:t xml:space="preserve">projects and therefore few attempts to pool existing information together to gather a more comprehensive understanding of affected people’s needs, capacities and suggestions. The call </w:t>
      </w:r>
      <w:r w:rsidR="003520FD" w:rsidRPr="000559FF">
        <w:rPr>
          <w:rFonts w:cs="Times New Roman"/>
          <w:lang w:val="en-GB"/>
        </w:rPr>
        <w:t>centre</w:t>
      </w:r>
      <w:r w:rsidRPr="000559FF">
        <w:rPr>
          <w:rFonts w:cs="Times New Roman"/>
          <w:lang w:val="en-GB"/>
        </w:rPr>
        <w:t>/hotline set up in northern Iraq to centralise feedback from affected people receiving humanitarian assistance and refer it to the relevant organisation(s) for follow up action, provides an important feedback and complaints common service, but its</w:t>
      </w:r>
      <w:r w:rsidR="00285291" w:rsidRPr="000559FF">
        <w:rPr>
          <w:rFonts w:cs="Times New Roman"/>
          <w:lang w:val="en-GB"/>
        </w:rPr>
        <w:t xml:space="preserve"> aim is not to provide </w:t>
      </w:r>
      <w:r w:rsidRPr="000559FF">
        <w:rPr>
          <w:rFonts w:cs="Times New Roman"/>
          <w:lang w:val="en-GB"/>
        </w:rPr>
        <w:t xml:space="preserve">a comprehensive perspective on affected people’s needs. </w:t>
      </w:r>
      <w:r w:rsidR="000B1EE7" w:rsidRPr="000559FF">
        <w:rPr>
          <w:rFonts w:cs="Times New Roman"/>
          <w:lang w:val="en-GB"/>
        </w:rPr>
        <w:t xml:space="preserve">In northern Uganda, the proliferation of project-specific committees of affected people is such, that it’s almost impossible to get a clear overview of structures for engagement between communities and organisations providing assistance. </w:t>
      </w:r>
    </w:p>
    <w:p w14:paraId="79E34FCC" w14:textId="44579446" w:rsidR="00EA19E7" w:rsidRPr="000559FF" w:rsidRDefault="00942D1C" w:rsidP="003520FD">
      <w:pPr>
        <w:spacing w:after="200" w:line="276" w:lineRule="auto"/>
        <w:rPr>
          <w:lang w:val="en-GB"/>
        </w:rPr>
      </w:pPr>
      <w:r w:rsidRPr="000559FF">
        <w:rPr>
          <w:rFonts w:cs="Times New Roman"/>
          <w:lang w:val="en-GB"/>
        </w:rPr>
        <w:t xml:space="preserve">In short-term projects, </w:t>
      </w:r>
      <w:r w:rsidR="00F764BA" w:rsidRPr="000559FF">
        <w:rPr>
          <w:rFonts w:cs="Times New Roman"/>
          <w:lang w:val="en-GB"/>
        </w:rPr>
        <w:t xml:space="preserve">it is </w:t>
      </w:r>
      <w:r w:rsidR="003520FD" w:rsidRPr="000559FF">
        <w:rPr>
          <w:rFonts w:cs="Times New Roman"/>
          <w:lang w:val="en-GB"/>
        </w:rPr>
        <w:t xml:space="preserve">often a challenge </w:t>
      </w:r>
      <w:r w:rsidR="00F764BA" w:rsidRPr="000559FF">
        <w:rPr>
          <w:rFonts w:cs="Times New Roman"/>
          <w:lang w:val="en-GB"/>
        </w:rPr>
        <w:t xml:space="preserve">to dedicate </w:t>
      </w:r>
      <w:r w:rsidRPr="000559FF">
        <w:rPr>
          <w:rFonts w:cs="Times New Roman"/>
          <w:lang w:val="en-GB"/>
        </w:rPr>
        <w:t xml:space="preserve">sufficient </w:t>
      </w:r>
      <w:r w:rsidR="00F764BA" w:rsidRPr="000559FF">
        <w:rPr>
          <w:rFonts w:cs="Times New Roman"/>
          <w:lang w:val="en-GB"/>
        </w:rPr>
        <w:t xml:space="preserve">human </w:t>
      </w:r>
      <w:r w:rsidRPr="000559FF">
        <w:rPr>
          <w:rFonts w:cs="Times New Roman"/>
          <w:lang w:val="en-GB"/>
        </w:rPr>
        <w:t xml:space="preserve">resources </w:t>
      </w:r>
      <w:r w:rsidR="00F764BA" w:rsidRPr="000559FF">
        <w:rPr>
          <w:rFonts w:cs="Times New Roman"/>
          <w:lang w:val="en-GB"/>
        </w:rPr>
        <w:t xml:space="preserve">and time to consultation with affected people at the onset of the project cycle, and then to adjust the response to input received from affected people during the implementation and monitoring phases of the project. </w:t>
      </w:r>
      <w:r w:rsidR="003520FD" w:rsidRPr="000559FF">
        <w:rPr>
          <w:rFonts w:cs="Times New Roman"/>
          <w:lang w:val="en-GB"/>
        </w:rPr>
        <w:t xml:space="preserve">In addition, </w:t>
      </w:r>
      <w:r w:rsidR="00437FC5" w:rsidRPr="000559FF">
        <w:rPr>
          <w:rFonts w:cs="Times New Roman"/>
          <w:lang w:val="en-GB"/>
        </w:rPr>
        <w:t>frequent s</w:t>
      </w:r>
      <w:r w:rsidR="003520FD" w:rsidRPr="000559FF">
        <w:rPr>
          <w:rFonts w:cs="Times New Roman"/>
          <w:lang w:val="en-GB"/>
        </w:rPr>
        <w:t>ignificant time lag</w:t>
      </w:r>
      <w:r w:rsidR="00437FC5" w:rsidRPr="000559FF">
        <w:rPr>
          <w:rFonts w:cs="Times New Roman"/>
          <w:lang w:val="en-GB"/>
        </w:rPr>
        <w:t>s</w:t>
      </w:r>
      <w:r w:rsidR="003520FD" w:rsidRPr="000559FF">
        <w:rPr>
          <w:rFonts w:cs="Times New Roman"/>
          <w:lang w:val="en-GB"/>
        </w:rPr>
        <w:t xml:space="preserve"> in the grant allocation process, </w:t>
      </w:r>
      <w:r w:rsidR="00EA19E7" w:rsidRPr="000559FF">
        <w:rPr>
          <w:rFonts w:cs="Times New Roman"/>
          <w:lang w:val="en-GB"/>
        </w:rPr>
        <w:t>between the initial assessment of needs and the</w:t>
      </w:r>
      <w:r w:rsidR="003520FD" w:rsidRPr="000559FF">
        <w:rPr>
          <w:rFonts w:cs="Times New Roman"/>
          <w:lang w:val="en-GB"/>
        </w:rPr>
        <w:t xml:space="preserve"> start of </w:t>
      </w:r>
      <w:r w:rsidR="00EA19E7" w:rsidRPr="000559FF">
        <w:rPr>
          <w:rFonts w:cs="Times New Roman"/>
          <w:lang w:val="en-GB"/>
        </w:rPr>
        <w:t>implementation</w:t>
      </w:r>
      <w:r w:rsidR="003520FD" w:rsidRPr="000559FF">
        <w:rPr>
          <w:rFonts w:cs="Times New Roman"/>
          <w:lang w:val="en-GB"/>
        </w:rPr>
        <w:t xml:space="preserve">, </w:t>
      </w:r>
      <w:r w:rsidR="00437FC5" w:rsidRPr="000559FF">
        <w:rPr>
          <w:rFonts w:cs="Times New Roman"/>
          <w:lang w:val="en-GB"/>
        </w:rPr>
        <w:t>impact</w:t>
      </w:r>
      <w:r w:rsidR="003520FD" w:rsidRPr="000559FF">
        <w:rPr>
          <w:rFonts w:cs="Times New Roman"/>
          <w:lang w:val="en-GB"/>
        </w:rPr>
        <w:t xml:space="preserve"> negatively on the trust affected people </w:t>
      </w:r>
      <w:r w:rsidR="00EA19E7" w:rsidRPr="000559FF">
        <w:rPr>
          <w:rFonts w:cs="Times New Roman"/>
          <w:lang w:val="en-GB"/>
        </w:rPr>
        <w:t>m</w:t>
      </w:r>
      <w:r w:rsidR="003520FD" w:rsidRPr="000559FF">
        <w:rPr>
          <w:rFonts w:cs="Times New Roman"/>
          <w:lang w:val="en-GB"/>
        </w:rPr>
        <w:t xml:space="preserve">ay have had in the organisation providing assistance, and therefore their willingness to engagement constructively in participation outcomes.  </w:t>
      </w:r>
    </w:p>
    <w:p w14:paraId="28B86405" w14:textId="77777777" w:rsidR="00C513E5" w:rsidRPr="000559FF" w:rsidRDefault="00C513E5" w:rsidP="00C513E5">
      <w:pPr>
        <w:spacing w:after="200" w:line="276" w:lineRule="auto"/>
        <w:rPr>
          <w:rFonts w:cs="Times New Roman"/>
          <w:lang w:val="en-GB"/>
        </w:rPr>
      </w:pPr>
      <w:r w:rsidRPr="000559FF">
        <w:rPr>
          <w:rFonts w:cs="Times New Roman"/>
          <w:lang w:val="en-GB"/>
        </w:rPr>
        <w:t xml:space="preserve">The only examples of participation cutting across sectors and specific projects came when organisations had either allocated resources to participation mechanisms independently from project earmarking, or adopted a community-based approach to protection.  </w:t>
      </w:r>
    </w:p>
    <w:p w14:paraId="4566B38C" w14:textId="28E3DA95" w:rsidR="000B1EE7" w:rsidRPr="000559FF" w:rsidRDefault="00A8492B" w:rsidP="000B1EE7">
      <w:pPr>
        <w:spacing w:after="200" w:line="276" w:lineRule="auto"/>
        <w:rPr>
          <w:lang w:val="en-GB"/>
        </w:rPr>
      </w:pPr>
      <w:r w:rsidRPr="000559FF">
        <w:rPr>
          <w:rFonts w:cs="Times New Roman"/>
          <w:lang w:val="en-GB"/>
        </w:rPr>
        <w:t xml:space="preserve">In addition to challenges to effectiveness, this siloed project-by-project approach to participation raises a fundamental question of efficiency, namely whether </w:t>
      </w:r>
      <w:r w:rsidRPr="000559FF">
        <w:rPr>
          <w:lang w:val="en-GB"/>
        </w:rPr>
        <w:t xml:space="preserve">organisations could </w:t>
      </w:r>
      <w:r w:rsidR="00C513E5" w:rsidRPr="000559FF">
        <w:rPr>
          <w:lang w:val="en-GB"/>
        </w:rPr>
        <w:t>rationalise</w:t>
      </w:r>
      <w:r w:rsidRPr="000559FF">
        <w:rPr>
          <w:lang w:val="en-GB"/>
        </w:rPr>
        <w:t xml:space="preserve"> participation </w:t>
      </w:r>
      <w:r w:rsidR="00C513E5" w:rsidRPr="000559FF">
        <w:rPr>
          <w:lang w:val="en-GB"/>
        </w:rPr>
        <w:t>resources better with less of a sect</w:t>
      </w:r>
      <w:r w:rsidRPr="000559FF">
        <w:rPr>
          <w:lang w:val="en-GB"/>
        </w:rPr>
        <w:t>oral focus and more of a people-</w:t>
      </w:r>
      <w:r w:rsidR="00615EA4" w:rsidRPr="000559FF">
        <w:rPr>
          <w:lang w:val="en-GB"/>
        </w:rPr>
        <w:t>centred</w:t>
      </w:r>
      <w:r w:rsidR="00C513E5" w:rsidRPr="000559FF">
        <w:rPr>
          <w:lang w:val="en-GB"/>
        </w:rPr>
        <w:t xml:space="preserve"> approach</w:t>
      </w:r>
      <w:bookmarkEnd w:id="7"/>
      <w:r w:rsidR="000B1EE7" w:rsidRPr="000559FF">
        <w:rPr>
          <w:lang w:val="en-GB"/>
        </w:rPr>
        <w:t>.</w:t>
      </w:r>
    </w:p>
    <w:p w14:paraId="520A1A92" w14:textId="7031E68D" w:rsidR="005F2DB9" w:rsidRPr="000559FF" w:rsidRDefault="005F2DB9" w:rsidP="000B1EE7">
      <w:pPr>
        <w:spacing w:after="0" w:line="276" w:lineRule="auto"/>
        <w:rPr>
          <w:b/>
          <w:lang w:val="en-GB"/>
        </w:rPr>
      </w:pPr>
      <w:bookmarkStart w:id="8" w:name="_Hlk496018939"/>
      <w:r w:rsidRPr="000559FF">
        <w:rPr>
          <w:b/>
          <w:lang w:val="en-GB"/>
        </w:rPr>
        <w:t>Centralis</w:t>
      </w:r>
      <w:r w:rsidR="00672CCE" w:rsidRPr="000559FF">
        <w:rPr>
          <w:b/>
          <w:lang w:val="en-GB"/>
        </w:rPr>
        <w:t>ed</w:t>
      </w:r>
      <w:r w:rsidRPr="000559FF">
        <w:rPr>
          <w:b/>
          <w:lang w:val="en-GB"/>
        </w:rPr>
        <w:t xml:space="preserve"> decision-mak</w:t>
      </w:r>
      <w:r w:rsidR="00F24A2C" w:rsidRPr="000559FF">
        <w:rPr>
          <w:b/>
          <w:lang w:val="en-GB"/>
        </w:rPr>
        <w:t>ing</w:t>
      </w:r>
    </w:p>
    <w:p w14:paraId="75C60139" w14:textId="5A3B58E8" w:rsidR="00951CE5" w:rsidRPr="000559FF" w:rsidRDefault="00174AB4" w:rsidP="00951CE5">
      <w:pPr>
        <w:rPr>
          <w:lang w:val="en-GB"/>
        </w:rPr>
      </w:pPr>
      <w:r w:rsidRPr="000559FF">
        <w:rPr>
          <w:rFonts w:cs="Times New Roman"/>
          <w:lang w:val="en-GB"/>
        </w:rPr>
        <w:t xml:space="preserve">Organisations reviewed generally described their institutional donors as flexible in terms of adapting funding to best respond to needs articulated by affected people. </w:t>
      </w:r>
      <w:r w:rsidR="00951CE5" w:rsidRPr="000559FF">
        <w:rPr>
          <w:rFonts w:cs="Times New Roman"/>
          <w:lang w:val="en-GB"/>
        </w:rPr>
        <w:t xml:space="preserve">The closer </w:t>
      </w:r>
      <w:r w:rsidR="00285291" w:rsidRPr="000559FF">
        <w:rPr>
          <w:rFonts w:cs="Times New Roman"/>
          <w:lang w:val="en-GB"/>
        </w:rPr>
        <w:t xml:space="preserve">the </w:t>
      </w:r>
      <w:r w:rsidR="00951CE5" w:rsidRPr="000559FF">
        <w:rPr>
          <w:rFonts w:cs="Times New Roman"/>
          <w:lang w:val="en-GB"/>
        </w:rPr>
        <w:t xml:space="preserve">decision-making authority related to grant management and allocation of resources to project or programme management, the easier it is for organisations to request course correctors </w:t>
      </w:r>
      <w:r w:rsidR="00285291" w:rsidRPr="000559FF">
        <w:rPr>
          <w:rFonts w:cs="Times New Roman"/>
          <w:lang w:val="en-GB"/>
        </w:rPr>
        <w:t xml:space="preserve">from their </w:t>
      </w:r>
      <w:r w:rsidR="00951CE5" w:rsidRPr="000559FF">
        <w:rPr>
          <w:rFonts w:cs="Times New Roman"/>
          <w:lang w:val="en-GB"/>
        </w:rPr>
        <w:t>donors</w:t>
      </w:r>
      <w:r w:rsidR="00285291" w:rsidRPr="000559FF">
        <w:rPr>
          <w:rFonts w:cs="Times New Roman"/>
          <w:lang w:val="en-GB"/>
        </w:rPr>
        <w:t xml:space="preserve">. </w:t>
      </w:r>
      <w:r w:rsidR="00951CE5" w:rsidRPr="000559FF">
        <w:rPr>
          <w:rFonts w:cs="Times New Roman"/>
          <w:lang w:val="en-GB"/>
        </w:rPr>
        <w:t xml:space="preserve"> Generally, it was felt that donors with a representation close to operations were </w:t>
      </w:r>
      <w:r w:rsidR="00285291" w:rsidRPr="000559FF">
        <w:rPr>
          <w:rFonts w:cs="Times New Roman"/>
          <w:lang w:val="en-GB"/>
        </w:rPr>
        <w:t xml:space="preserve">even more </w:t>
      </w:r>
      <w:r w:rsidR="00951CE5" w:rsidRPr="000559FF">
        <w:rPr>
          <w:rFonts w:cs="Times New Roman"/>
          <w:lang w:val="en-GB"/>
        </w:rPr>
        <w:t xml:space="preserve">sympathetic to adapting grants to input from affected people.  </w:t>
      </w:r>
    </w:p>
    <w:p w14:paraId="653CA7FE" w14:textId="5D980F3B" w:rsidR="00B739D8" w:rsidRPr="000559FF" w:rsidRDefault="00615EA4" w:rsidP="00174AB4">
      <w:pPr>
        <w:spacing w:after="200" w:line="276" w:lineRule="auto"/>
        <w:rPr>
          <w:lang w:val="en-GB"/>
        </w:rPr>
      </w:pPr>
      <w:r>
        <w:rPr>
          <w:lang w:val="en-GB"/>
        </w:rPr>
        <w:t xml:space="preserve">Nevertheless, </w:t>
      </w:r>
      <w:r w:rsidR="00951CE5" w:rsidRPr="000559FF">
        <w:rPr>
          <w:lang w:val="en-GB"/>
        </w:rPr>
        <w:t>t</w:t>
      </w:r>
      <w:r w:rsidR="00437FC5" w:rsidRPr="000559FF">
        <w:rPr>
          <w:lang w:val="en-GB"/>
        </w:rPr>
        <w:t xml:space="preserve">he review teams found that certain fundamental programming decisions were taken </w:t>
      </w:r>
      <w:r>
        <w:rPr>
          <w:lang w:val="en-GB"/>
        </w:rPr>
        <w:t xml:space="preserve">by the </w:t>
      </w:r>
      <w:r w:rsidR="002B7C27" w:rsidRPr="000559FF">
        <w:rPr>
          <w:lang w:val="en-GB"/>
        </w:rPr>
        <w:t>UN agency</w:t>
      </w:r>
      <w:r>
        <w:rPr>
          <w:lang w:val="en-GB"/>
        </w:rPr>
        <w:t xml:space="preserve"> resourcing the programme</w:t>
      </w:r>
      <w:r w:rsidR="002B7C27" w:rsidRPr="000559FF">
        <w:rPr>
          <w:lang w:val="en-GB"/>
        </w:rPr>
        <w:t>, without the NGO in charg</w:t>
      </w:r>
      <w:r>
        <w:rPr>
          <w:lang w:val="en-GB"/>
        </w:rPr>
        <w:t>e of implementation</w:t>
      </w:r>
      <w:r w:rsidR="002B7C27" w:rsidRPr="000559FF">
        <w:rPr>
          <w:lang w:val="en-GB"/>
        </w:rPr>
        <w:t xml:space="preserve"> feeling that it had the power to </w:t>
      </w:r>
      <w:r w:rsidR="00F24A2C" w:rsidRPr="000559FF">
        <w:rPr>
          <w:lang w:val="en-GB"/>
        </w:rPr>
        <w:t>influence</w:t>
      </w:r>
      <w:r w:rsidR="00951CE5" w:rsidRPr="000559FF">
        <w:rPr>
          <w:lang w:val="en-GB"/>
        </w:rPr>
        <w:t xml:space="preserve"> </w:t>
      </w:r>
      <w:r w:rsidR="00F24A2C" w:rsidRPr="000559FF">
        <w:rPr>
          <w:lang w:val="en-GB"/>
        </w:rPr>
        <w:t xml:space="preserve">such </w:t>
      </w:r>
      <w:r w:rsidR="002B7C27" w:rsidRPr="000559FF">
        <w:rPr>
          <w:lang w:val="en-GB"/>
        </w:rPr>
        <w:t>decisions</w:t>
      </w:r>
      <w:r w:rsidR="000B1EE7" w:rsidRPr="000559FF">
        <w:rPr>
          <w:lang w:val="en-GB"/>
        </w:rPr>
        <w:t xml:space="preserve">, </w:t>
      </w:r>
      <w:r w:rsidRPr="000559FF">
        <w:rPr>
          <w:lang w:val="en-GB"/>
        </w:rPr>
        <w:t>i.e.</w:t>
      </w:r>
      <w:r w:rsidR="000B1EE7" w:rsidRPr="000559FF">
        <w:rPr>
          <w:lang w:val="en-GB"/>
        </w:rPr>
        <w:t xml:space="preserve"> decisions related to targeting criteria and in certain cases, actual list of beneficiaries, in the case of food voucher distribution in northern Iraq, or </w:t>
      </w:r>
      <w:r w:rsidR="00706849">
        <w:rPr>
          <w:lang w:val="en-GB"/>
        </w:rPr>
        <w:t xml:space="preserve">of the </w:t>
      </w:r>
      <w:r>
        <w:rPr>
          <w:lang w:val="en-GB"/>
        </w:rPr>
        <w:t xml:space="preserve">type of blankets distributed in northern Uganda. </w:t>
      </w:r>
      <w:r w:rsidR="002B7C27" w:rsidRPr="000559FF">
        <w:rPr>
          <w:lang w:val="en-GB"/>
        </w:rPr>
        <w:t>This effe</w:t>
      </w:r>
      <w:r w:rsidR="000B1EE7" w:rsidRPr="000559FF">
        <w:rPr>
          <w:lang w:val="en-GB"/>
        </w:rPr>
        <w:t xml:space="preserve">ctively leaves </w:t>
      </w:r>
      <w:r w:rsidR="002B7C27" w:rsidRPr="000559FF">
        <w:rPr>
          <w:lang w:val="en-GB"/>
        </w:rPr>
        <w:t>organisation</w:t>
      </w:r>
      <w:r w:rsidR="000B1EE7" w:rsidRPr="000559FF">
        <w:rPr>
          <w:lang w:val="en-GB"/>
        </w:rPr>
        <w:t>s</w:t>
      </w:r>
      <w:r w:rsidR="002B7C27" w:rsidRPr="000559FF">
        <w:rPr>
          <w:lang w:val="en-GB"/>
        </w:rPr>
        <w:t xml:space="preserve"> in direct contact with affected people in no position to carry out meaningful engagement with them on issues related to vulnerability and needs, only on issues related to the organisation and the monitoring of the distribution. </w:t>
      </w:r>
      <w:r w:rsidR="00B739D8">
        <w:rPr>
          <w:lang w:val="en-GB"/>
        </w:rPr>
        <w:t xml:space="preserve">For affected people, the power dynamic is such that they are </w:t>
      </w:r>
      <w:r w:rsidR="00706849">
        <w:rPr>
          <w:lang w:val="en-GB"/>
        </w:rPr>
        <w:t xml:space="preserve">often </w:t>
      </w:r>
      <w:r w:rsidR="00B739D8">
        <w:rPr>
          <w:lang w:val="en-GB"/>
        </w:rPr>
        <w:t xml:space="preserve">left without any recourse when their requests are dismissed. </w:t>
      </w:r>
    </w:p>
    <w:p w14:paraId="2F930864" w14:textId="16EF8D56" w:rsidR="00942D1C" w:rsidRPr="000559FF" w:rsidRDefault="00174AB4" w:rsidP="002B7C27">
      <w:pPr>
        <w:spacing w:after="200" w:line="276" w:lineRule="auto"/>
        <w:rPr>
          <w:lang w:val="en-GB"/>
        </w:rPr>
      </w:pPr>
      <w:r w:rsidRPr="000559FF">
        <w:rPr>
          <w:lang w:val="en-GB"/>
        </w:rPr>
        <w:t xml:space="preserve">While prioritisation is necessary considering limited resources to cover all needs, centralisation of decision making undermines </w:t>
      </w:r>
      <w:r w:rsidR="0003289E">
        <w:rPr>
          <w:lang w:val="en-GB"/>
        </w:rPr>
        <w:t xml:space="preserve">frontline </w:t>
      </w:r>
      <w:r w:rsidRPr="000559FF">
        <w:rPr>
          <w:lang w:val="en-GB"/>
        </w:rPr>
        <w:t>organisations’ ability to carry out meaningful consultation with the affected people it is attempting to serve. The discussion on how to find the balance between deciding on</w:t>
      </w:r>
      <w:r w:rsidR="00F24A2C" w:rsidRPr="000559FF">
        <w:rPr>
          <w:lang w:val="en-GB"/>
        </w:rPr>
        <w:t xml:space="preserve"> the</w:t>
      </w:r>
      <w:r w:rsidRPr="000559FF">
        <w:rPr>
          <w:lang w:val="en-GB"/>
        </w:rPr>
        <w:t xml:space="preserve"> allocat</w:t>
      </w:r>
      <w:r w:rsidR="00F24A2C" w:rsidRPr="000559FF">
        <w:rPr>
          <w:lang w:val="en-GB"/>
        </w:rPr>
        <w:t xml:space="preserve">ion of </w:t>
      </w:r>
      <w:r w:rsidRPr="000559FF">
        <w:rPr>
          <w:lang w:val="en-GB"/>
        </w:rPr>
        <w:t xml:space="preserve">limited resources and giving space to </w:t>
      </w:r>
      <w:r w:rsidR="0003289E">
        <w:rPr>
          <w:lang w:val="en-GB"/>
        </w:rPr>
        <w:t xml:space="preserve">operational </w:t>
      </w:r>
      <w:r w:rsidRPr="000559FF">
        <w:rPr>
          <w:lang w:val="en-GB"/>
        </w:rPr>
        <w:t>organisations to carry out meaningful participation, is one which needs to take place at the Cluster and Inter-Cluster level, with referral to the Humanitarian Country Team as necessary.</w:t>
      </w:r>
      <w:r w:rsidR="00951CE5" w:rsidRPr="000559FF">
        <w:rPr>
          <w:lang w:val="en-GB"/>
        </w:rPr>
        <w:t xml:space="preserve"> This requires substantive engagement by NGOs in these coordination mechanisms, as well as the</w:t>
      </w:r>
      <w:r w:rsidR="00F24A2C" w:rsidRPr="000559FF">
        <w:rPr>
          <w:lang w:val="en-GB"/>
        </w:rPr>
        <w:t xml:space="preserve">ir </w:t>
      </w:r>
      <w:r w:rsidR="002357DE" w:rsidRPr="000559FF">
        <w:rPr>
          <w:lang w:val="en-GB"/>
        </w:rPr>
        <w:t xml:space="preserve">ability to raise </w:t>
      </w:r>
      <w:r w:rsidR="00285291" w:rsidRPr="000559FF">
        <w:rPr>
          <w:lang w:val="en-GB"/>
        </w:rPr>
        <w:t xml:space="preserve">their </w:t>
      </w:r>
      <w:r w:rsidR="00F24A2C" w:rsidRPr="000559FF">
        <w:rPr>
          <w:lang w:val="en-GB"/>
        </w:rPr>
        <w:t>concerns</w:t>
      </w:r>
      <w:r w:rsidR="00285291" w:rsidRPr="000559FF">
        <w:rPr>
          <w:lang w:val="en-GB"/>
        </w:rPr>
        <w:t xml:space="preserve"> to a higher level when necessary, </w:t>
      </w:r>
      <w:r w:rsidR="002357DE" w:rsidRPr="000559FF">
        <w:rPr>
          <w:lang w:val="en-GB"/>
        </w:rPr>
        <w:t>t</w:t>
      </w:r>
      <w:r w:rsidR="00F24A2C" w:rsidRPr="000559FF">
        <w:rPr>
          <w:lang w:val="en-GB"/>
        </w:rPr>
        <w:t>hrough</w:t>
      </w:r>
      <w:r w:rsidR="002357DE" w:rsidRPr="000559FF">
        <w:rPr>
          <w:lang w:val="en-GB"/>
        </w:rPr>
        <w:t xml:space="preserve"> </w:t>
      </w:r>
      <w:r w:rsidR="00F24A2C" w:rsidRPr="000559FF">
        <w:rPr>
          <w:lang w:val="en-GB"/>
        </w:rPr>
        <w:t xml:space="preserve">global coordination or policy-making fora (such as for example the </w:t>
      </w:r>
      <w:r w:rsidR="00A8492B" w:rsidRPr="000559FF">
        <w:rPr>
          <w:lang w:val="en-GB"/>
        </w:rPr>
        <w:t xml:space="preserve">IASC </w:t>
      </w:r>
      <w:r w:rsidR="00F24A2C" w:rsidRPr="000559FF">
        <w:rPr>
          <w:lang w:val="en-GB"/>
        </w:rPr>
        <w:t>Emergency Director’s Group or the IASC Task Team on Accountability to Affected People) or directly to relevant UN agencies</w:t>
      </w:r>
      <w:r w:rsidR="00285291" w:rsidRPr="000559FF">
        <w:rPr>
          <w:lang w:val="en-GB"/>
        </w:rPr>
        <w:t xml:space="preserve"> headquarters</w:t>
      </w:r>
      <w:r w:rsidR="002357DE" w:rsidRPr="000559FF">
        <w:rPr>
          <w:lang w:val="en-GB"/>
        </w:rPr>
        <w:t xml:space="preserve">. </w:t>
      </w:r>
      <w:r w:rsidRPr="000559FF">
        <w:rPr>
          <w:lang w:val="en-GB"/>
        </w:rPr>
        <w:t xml:space="preserve"> </w:t>
      </w:r>
    </w:p>
    <w:bookmarkEnd w:id="8"/>
    <w:p w14:paraId="78C61173" w14:textId="21342674" w:rsidR="00C513E5" w:rsidRPr="000559FF" w:rsidRDefault="00C513E5" w:rsidP="00F94C59">
      <w:pPr>
        <w:pStyle w:val="ListParagraph"/>
        <w:numPr>
          <w:ilvl w:val="0"/>
          <w:numId w:val="9"/>
        </w:numPr>
        <w:spacing w:after="0" w:line="276" w:lineRule="auto"/>
        <w:rPr>
          <w:b/>
          <w:lang w:val="en-GB"/>
        </w:rPr>
      </w:pPr>
      <w:r w:rsidRPr="000559FF">
        <w:rPr>
          <w:b/>
          <w:lang w:val="en-GB"/>
        </w:rPr>
        <w:t>Needs assessments versus needs analysis</w:t>
      </w:r>
    </w:p>
    <w:p w14:paraId="3452F924" w14:textId="2AE58C06" w:rsidR="00C513E5" w:rsidRPr="000559FF" w:rsidRDefault="00091CEF" w:rsidP="00A8492B">
      <w:pPr>
        <w:spacing w:after="200" w:line="276" w:lineRule="auto"/>
        <w:rPr>
          <w:lang w:val="en-GB"/>
        </w:rPr>
      </w:pPr>
      <w:r w:rsidRPr="000559FF">
        <w:rPr>
          <w:lang w:val="en-GB"/>
        </w:rPr>
        <w:t xml:space="preserve">The siloed approach described above is reflected at the initial stage of the </w:t>
      </w:r>
      <w:r w:rsidR="00A53344" w:rsidRPr="000559FF">
        <w:rPr>
          <w:lang w:val="en-GB"/>
        </w:rPr>
        <w:t>programme c</w:t>
      </w:r>
      <w:r w:rsidRPr="000559FF">
        <w:rPr>
          <w:lang w:val="en-GB"/>
        </w:rPr>
        <w:t>ycle, as organisations carry out their own largely sectoral needs assessments, often using different methodologies from one organisation to another, which makes it a challenge to compare and analyse data consistently. This sectorisation of data and information is further reinforced by limited exchange of information</w:t>
      </w:r>
      <w:r w:rsidR="00A53344" w:rsidRPr="000559FF">
        <w:rPr>
          <w:lang w:val="en-GB"/>
        </w:rPr>
        <w:t xml:space="preserve"> between organisations working in different </w:t>
      </w:r>
      <w:r w:rsidRPr="000559FF">
        <w:rPr>
          <w:lang w:val="en-GB"/>
        </w:rPr>
        <w:t>population settlement</w:t>
      </w:r>
      <w:r w:rsidR="00A53344" w:rsidRPr="000559FF">
        <w:rPr>
          <w:lang w:val="en-GB"/>
        </w:rPr>
        <w:t>s</w:t>
      </w:r>
      <w:r w:rsidRPr="000559FF">
        <w:rPr>
          <w:lang w:val="en-GB"/>
        </w:rPr>
        <w:t xml:space="preserve">, further limiting the ability to rank or compare needs from one geographic area to another. </w:t>
      </w:r>
    </w:p>
    <w:p w14:paraId="61986023" w14:textId="1708F227" w:rsidR="00C513E5" w:rsidRPr="000559FF" w:rsidRDefault="00B16858" w:rsidP="00B16858">
      <w:pPr>
        <w:spacing w:after="200" w:line="276" w:lineRule="auto"/>
        <w:rPr>
          <w:lang w:val="en-GB"/>
        </w:rPr>
      </w:pPr>
      <w:r w:rsidRPr="000559FF">
        <w:rPr>
          <w:lang w:val="en-GB"/>
        </w:rPr>
        <w:t xml:space="preserve">The review teams </w:t>
      </w:r>
      <w:r w:rsidR="00FA6BCB" w:rsidRPr="000559FF">
        <w:rPr>
          <w:lang w:val="en-GB"/>
        </w:rPr>
        <w:t xml:space="preserve">question </w:t>
      </w:r>
      <w:r w:rsidRPr="000559FF">
        <w:rPr>
          <w:lang w:val="en-GB"/>
        </w:rPr>
        <w:t xml:space="preserve">whether the </w:t>
      </w:r>
      <w:r w:rsidR="00C513E5" w:rsidRPr="000559FF">
        <w:rPr>
          <w:lang w:val="en-GB"/>
        </w:rPr>
        <w:t xml:space="preserve">focus </w:t>
      </w:r>
      <w:r w:rsidR="008F3156" w:rsidRPr="000559FF">
        <w:rPr>
          <w:lang w:val="en-GB"/>
        </w:rPr>
        <w:t xml:space="preserve">at the onset of the response </w:t>
      </w:r>
      <w:r w:rsidR="00C513E5" w:rsidRPr="000559FF">
        <w:rPr>
          <w:lang w:val="en-GB"/>
        </w:rPr>
        <w:t xml:space="preserve">on </w:t>
      </w:r>
      <w:r w:rsidR="00C513E5" w:rsidRPr="000559FF">
        <w:rPr>
          <w:u w:val="single"/>
          <w:lang w:val="en-GB"/>
        </w:rPr>
        <w:t>assessment</w:t>
      </w:r>
      <w:r w:rsidRPr="000559FF">
        <w:rPr>
          <w:u w:val="single"/>
          <w:lang w:val="en-GB"/>
        </w:rPr>
        <w:t>s</w:t>
      </w:r>
      <w:r w:rsidR="00C513E5" w:rsidRPr="000559FF">
        <w:rPr>
          <w:u w:val="single"/>
          <w:lang w:val="en-GB"/>
        </w:rPr>
        <w:t xml:space="preserve"> </w:t>
      </w:r>
      <w:r w:rsidRPr="000559FF">
        <w:rPr>
          <w:u w:val="single"/>
          <w:lang w:val="en-GB"/>
        </w:rPr>
        <w:t>(</w:t>
      </w:r>
      <w:r w:rsidRPr="000559FF">
        <w:rPr>
          <w:lang w:val="en-GB"/>
        </w:rPr>
        <w:t xml:space="preserve">sectoral) rather than on </w:t>
      </w:r>
      <w:r w:rsidR="00C513E5" w:rsidRPr="000559FF">
        <w:rPr>
          <w:u w:val="single"/>
          <w:lang w:val="en-GB"/>
        </w:rPr>
        <w:t>analysis</w:t>
      </w:r>
      <w:r w:rsidRPr="000559FF">
        <w:rPr>
          <w:lang w:val="en-GB"/>
        </w:rPr>
        <w:t xml:space="preserve"> (situational and contextual and include</w:t>
      </w:r>
      <w:r w:rsidR="008F3156" w:rsidRPr="000559FF">
        <w:rPr>
          <w:lang w:val="en-GB"/>
        </w:rPr>
        <w:t>s</w:t>
      </w:r>
      <w:r w:rsidRPr="000559FF">
        <w:rPr>
          <w:lang w:val="en-GB"/>
        </w:rPr>
        <w:t xml:space="preserve"> </w:t>
      </w:r>
      <w:r w:rsidR="00C513E5" w:rsidRPr="000559FF">
        <w:rPr>
          <w:lang w:val="en-GB"/>
        </w:rPr>
        <w:t>cross-cutting issues</w:t>
      </w:r>
      <w:r w:rsidRPr="000559FF">
        <w:rPr>
          <w:lang w:val="en-GB"/>
        </w:rPr>
        <w:t xml:space="preserve">, such as protection, inclusion / exclusion, gender, etc.) is one of the main challenges </w:t>
      </w:r>
      <w:r w:rsidR="008F3156" w:rsidRPr="000559FF">
        <w:rPr>
          <w:lang w:val="en-GB"/>
        </w:rPr>
        <w:t xml:space="preserve">in progressing from a project-by-project sectoral approach to participation to a </w:t>
      </w:r>
      <w:r w:rsidRPr="000559FF">
        <w:rPr>
          <w:lang w:val="en-GB"/>
        </w:rPr>
        <w:t>people-</w:t>
      </w:r>
      <w:r w:rsidR="00FA6BCB" w:rsidRPr="000559FF">
        <w:rPr>
          <w:lang w:val="en-GB"/>
        </w:rPr>
        <w:t>centred</w:t>
      </w:r>
      <w:r w:rsidRPr="000559FF">
        <w:rPr>
          <w:lang w:val="en-GB"/>
        </w:rPr>
        <w:t xml:space="preserve"> </w:t>
      </w:r>
      <w:r w:rsidR="008F3156" w:rsidRPr="000559FF">
        <w:rPr>
          <w:lang w:val="en-GB"/>
        </w:rPr>
        <w:t xml:space="preserve">one. </w:t>
      </w:r>
      <w:r w:rsidRPr="000559FF">
        <w:rPr>
          <w:lang w:val="en-GB"/>
        </w:rPr>
        <w:t xml:space="preserve"> </w:t>
      </w:r>
    </w:p>
    <w:p w14:paraId="01AC55A4" w14:textId="3598D368" w:rsidR="001D6A8D" w:rsidRPr="000559FF" w:rsidRDefault="005F2DB9" w:rsidP="00F94C59">
      <w:pPr>
        <w:pStyle w:val="ListParagraph"/>
        <w:numPr>
          <w:ilvl w:val="0"/>
          <w:numId w:val="23"/>
        </w:numPr>
        <w:spacing w:after="0"/>
        <w:jc w:val="both"/>
        <w:rPr>
          <w:rFonts w:cs="Times New Roman"/>
          <w:lang w:val="en-GB"/>
        </w:rPr>
      </w:pPr>
      <w:r w:rsidRPr="000559FF">
        <w:rPr>
          <w:b/>
          <w:lang w:val="en-GB"/>
        </w:rPr>
        <w:t>Partnership</w:t>
      </w:r>
      <w:r w:rsidR="001D6A8D" w:rsidRPr="000559FF">
        <w:rPr>
          <w:b/>
          <w:lang w:val="en-GB"/>
        </w:rPr>
        <w:t>s</w:t>
      </w:r>
      <w:r w:rsidR="00672CCE" w:rsidRPr="000559FF">
        <w:rPr>
          <w:b/>
          <w:lang w:val="en-GB"/>
        </w:rPr>
        <w:t xml:space="preserve"> between international and national and / or l</w:t>
      </w:r>
      <w:r w:rsidR="001D6A8D" w:rsidRPr="000559FF">
        <w:rPr>
          <w:b/>
          <w:lang w:val="en-GB"/>
        </w:rPr>
        <w:t>ocal organisations</w:t>
      </w:r>
    </w:p>
    <w:p w14:paraId="7E643EFB" w14:textId="069F8721" w:rsidR="00831802" w:rsidRPr="000559FF" w:rsidRDefault="008F3156" w:rsidP="00831802">
      <w:pPr>
        <w:rPr>
          <w:lang w:val="en-GB"/>
        </w:rPr>
      </w:pPr>
      <w:bookmarkStart w:id="9" w:name="_Hlk496017317"/>
      <w:r w:rsidRPr="000559FF">
        <w:rPr>
          <w:rFonts w:cs="Times New Roman"/>
          <w:lang w:val="en-GB"/>
        </w:rPr>
        <w:t xml:space="preserve">All interviewees concurred on the importance </w:t>
      </w:r>
      <w:r w:rsidR="00B02E4F" w:rsidRPr="000559FF">
        <w:rPr>
          <w:rFonts w:cs="Times New Roman"/>
          <w:lang w:val="en-GB"/>
        </w:rPr>
        <w:t xml:space="preserve">for effective participation of </w:t>
      </w:r>
      <w:r w:rsidR="00B02E4F" w:rsidRPr="000559FF">
        <w:rPr>
          <w:lang w:val="en-GB"/>
        </w:rPr>
        <w:t>national</w:t>
      </w:r>
      <w:r w:rsidRPr="000559FF">
        <w:rPr>
          <w:lang w:val="en-GB"/>
        </w:rPr>
        <w:t xml:space="preserve"> staff and partners who have knowledge and access to affected people, including to different group</w:t>
      </w:r>
      <w:r w:rsidR="008238BB" w:rsidRPr="000559FF">
        <w:rPr>
          <w:lang w:val="en-GB"/>
        </w:rPr>
        <w:t>s within the affected community</w:t>
      </w:r>
      <w:r w:rsidR="009828D7">
        <w:rPr>
          <w:lang w:val="en-GB"/>
        </w:rPr>
        <w:t xml:space="preserve">. The </w:t>
      </w:r>
      <w:r w:rsidR="00831802" w:rsidRPr="000559FF">
        <w:rPr>
          <w:lang w:val="en-GB"/>
        </w:rPr>
        <w:t xml:space="preserve">ability to have </w:t>
      </w:r>
      <w:r w:rsidR="007F42C5" w:rsidRPr="000559FF">
        <w:rPr>
          <w:lang w:val="en-GB"/>
        </w:rPr>
        <w:t>direct</w:t>
      </w:r>
      <w:r w:rsidRPr="000559FF">
        <w:rPr>
          <w:lang w:val="en-GB"/>
        </w:rPr>
        <w:t xml:space="preserve"> communicat</w:t>
      </w:r>
      <w:r w:rsidR="007F42C5" w:rsidRPr="000559FF">
        <w:rPr>
          <w:lang w:val="en-GB"/>
        </w:rPr>
        <w:t>ion</w:t>
      </w:r>
      <w:r w:rsidRPr="000559FF">
        <w:rPr>
          <w:lang w:val="en-GB"/>
        </w:rPr>
        <w:t xml:space="preserve"> with affected people in their local language and based on in-depth understanding of their cultural and social norms </w:t>
      </w:r>
      <w:r w:rsidR="00831802" w:rsidRPr="000559FF">
        <w:rPr>
          <w:lang w:val="en-GB"/>
        </w:rPr>
        <w:t xml:space="preserve">is essential. </w:t>
      </w:r>
    </w:p>
    <w:p w14:paraId="2A30993B" w14:textId="06400E3E" w:rsidR="009E597F" w:rsidRPr="000559FF" w:rsidRDefault="009828D7" w:rsidP="00590208">
      <w:pPr>
        <w:rPr>
          <w:lang w:val="en-GB"/>
        </w:rPr>
      </w:pPr>
      <w:r>
        <w:rPr>
          <w:lang w:val="en-GB"/>
        </w:rPr>
        <w:t>T</w:t>
      </w:r>
      <w:r w:rsidR="00831802" w:rsidRPr="000559FF">
        <w:rPr>
          <w:lang w:val="en-GB"/>
        </w:rPr>
        <w:t>he northern Iraq review indicated that national / local organisations do not necessarily value and invest in participation</w:t>
      </w:r>
      <w:r w:rsidR="00A71668" w:rsidRPr="000559FF">
        <w:rPr>
          <w:lang w:val="en-GB"/>
        </w:rPr>
        <w:t xml:space="preserve"> as a matter of course</w:t>
      </w:r>
      <w:r w:rsidR="00831802" w:rsidRPr="000559FF">
        <w:rPr>
          <w:lang w:val="en-GB"/>
        </w:rPr>
        <w:t xml:space="preserve">. It appears that grassroots organisation may not </w:t>
      </w:r>
      <w:r w:rsidR="00EE2F6B">
        <w:rPr>
          <w:lang w:val="en-GB"/>
        </w:rPr>
        <w:t xml:space="preserve">all </w:t>
      </w:r>
      <w:r w:rsidR="00831802" w:rsidRPr="000559FF">
        <w:rPr>
          <w:lang w:val="en-GB"/>
        </w:rPr>
        <w:t>value participation as such, believing that they already know what affected people need and want, as they come from the community that they serve. National organisations</w:t>
      </w:r>
      <w:r w:rsidR="000B1A03">
        <w:rPr>
          <w:lang w:val="en-GB"/>
        </w:rPr>
        <w:t xml:space="preserve"> which have more experience of working with international partners, appear to </w:t>
      </w:r>
      <w:r w:rsidR="00831802" w:rsidRPr="000559FF">
        <w:rPr>
          <w:lang w:val="en-GB"/>
        </w:rPr>
        <w:t>be more geared to participation, but may see it as a requirement imposed by their international partners and their</w:t>
      </w:r>
      <w:r w:rsidR="00FB015D" w:rsidRPr="000559FF">
        <w:rPr>
          <w:lang w:val="en-GB"/>
        </w:rPr>
        <w:t xml:space="preserve"> </w:t>
      </w:r>
      <w:r w:rsidR="00831802" w:rsidRPr="000559FF">
        <w:rPr>
          <w:lang w:val="en-GB"/>
        </w:rPr>
        <w:t xml:space="preserve">donors. They often also struggle with the multiple </w:t>
      </w:r>
      <w:r w:rsidR="000B1A03">
        <w:rPr>
          <w:lang w:val="en-GB"/>
        </w:rPr>
        <w:t xml:space="preserve">overlapping </w:t>
      </w:r>
      <w:r w:rsidR="00831802" w:rsidRPr="000559FF">
        <w:rPr>
          <w:lang w:val="en-GB"/>
        </w:rPr>
        <w:t>participation related requirements passed on to them by their different INGO partners</w:t>
      </w:r>
      <w:r w:rsidR="00FB015D" w:rsidRPr="000559FF">
        <w:rPr>
          <w:lang w:val="en-GB"/>
        </w:rPr>
        <w:t xml:space="preserve">. </w:t>
      </w:r>
      <w:r w:rsidR="00831802" w:rsidRPr="000559FF">
        <w:rPr>
          <w:lang w:val="en-GB"/>
        </w:rPr>
        <w:t xml:space="preserve"> </w:t>
      </w:r>
      <w:r w:rsidR="008C755E">
        <w:rPr>
          <w:lang w:val="en-GB"/>
        </w:rPr>
        <w:t xml:space="preserve">In situations of partnership </w:t>
      </w:r>
      <w:r w:rsidR="00FB015D" w:rsidRPr="000559FF">
        <w:rPr>
          <w:lang w:val="en-GB"/>
        </w:rPr>
        <w:t>between international, national and local organisations</w:t>
      </w:r>
      <w:r w:rsidR="008C755E">
        <w:rPr>
          <w:lang w:val="en-GB"/>
        </w:rPr>
        <w:t>,</w:t>
      </w:r>
      <w:r w:rsidR="00706849">
        <w:rPr>
          <w:lang w:val="en-GB"/>
        </w:rPr>
        <w:t xml:space="preserve"> making this </w:t>
      </w:r>
      <w:r w:rsidR="008C755E">
        <w:rPr>
          <w:lang w:val="en-GB"/>
        </w:rPr>
        <w:t xml:space="preserve">partnership </w:t>
      </w:r>
      <w:r w:rsidR="00706849">
        <w:rPr>
          <w:lang w:val="en-GB"/>
        </w:rPr>
        <w:t xml:space="preserve">strategic is </w:t>
      </w:r>
      <w:r w:rsidR="00FB015D" w:rsidRPr="000559FF">
        <w:rPr>
          <w:lang w:val="en-GB"/>
        </w:rPr>
        <w:t>central to effective participation</w:t>
      </w:r>
      <w:r w:rsidR="008C755E">
        <w:rPr>
          <w:lang w:val="en-GB"/>
        </w:rPr>
        <w:t xml:space="preserve">, as </w:t>
      </w:r>
      <w:r w:rsidR="00FB015D" w:rsidRPr="000559FF">
        <w:rPr>
          <w:lang w:val="en-GB"/>
        </w:rPr>
        <w:t xml:space="preserve">all parties negotiate and </w:t>
      </w:r>
      <w:r w:rsidR="00831802" w:rsidRPr="000559FF">
        <w:rPr>
          <w:lang w:val="en-GB"/>
        </w:rPr>
        <w:t xml:space="preserve">agree together on participation outcomes, approaches and follow up, </w:t>
      </w:r>
      <w:r w:rsidR="00FB015D" w:rsidRPr="000559FF">
        <w:rPr>
          <w:lang w:val="en-GB"/>
        </w:rPr>
        <w:t xml:space="preserve">and own the result jointly. In </w:t>
      </w:r>
      <w:r w:rsidR="008C755E">
        <w:rPr>
          <w:lang w:val="en-GB"/>
        </w:rPr>
        <w:t xml:space="preserve">the case of </w:t>
      </w:r>
      <w:r w:rsidR="00FB015D" w:rsidRPr="000559FF">
        <w:rPr>
          <w:lang w:val="en-GB"/>
        </w:rPr>
        <w:t xml:space="preserve">transactional relationships, </w:t>
      </w:r>
      <w:r w:rsidR="00831802" w:rsidRPr="000559FF">
        <w:rPr>
          <w:lang w:val="en-GB"/>
        </w:rPr>
        <w:t xml:space="preserve">international organisations pass on participation requirements to </w:t>
      </w:r>
      <w:r w:rsidR="00FB015D" w:rsidRPr="000559FF">
        <w:rPr>
          <w:lang w:val="en-GB"/>
        </w:rPr>
        <w:t xml:space="preserve">their </w:t>
      </w:r>
      <w:r w:rsidR="00831802" w:rsidRPr="000559FF">
        <w:rPr>
          <w:lang w:val="en-GB"/>
        </w:rPr>
        <w:t>national</w:t>
      </w:r>
      <w:r w:rsidR="00FB015D" w:rsidRPr="000559FF">
        <w:rPr>
          <w:lang w:val="en-GB"/>
        </w:rPr>
        <w:t xml:space="preserve"> or local</w:t>
      </w:r>
      <w:r w:rsidR="00831802" w:rsidRPr="000559FF">
        <w:rPr>
          <w:lang w:val="en-GB"/>
        </w:rPr>
        <w:t xml:space="preserve"> partners, </w:t>
      </w:r>
      <w:r w:rsidR="00FB015D" w:rsidRPr="000559FF">
        <w:rPr>
          <w:lang w:val="en-GB"/>
        </w:rPr>
        <w:t>who are then more likely to approach these as a tick box exercise.</w:t>
      </w:r>
      <w:r w:rsidR="00831802" w:rsidRPr="000559FF">
        <w:rPr>
          <w:lang w:val="en-GB"/>
        </w:rPr>
        <w:t xml:space="preserve">  </w:t>
      </w:r>
    </w:p>
    <w:bookmarkEnd w:id="9"/>
    <w:p w14:paraId="34776F96" w14:textId="162B08A3" w:rsidR="009D2F00" w:rsidRPr="000559FF" w:rsidRDefault="009D2F00" w:rsidP="009D2F00">
      <w:pPr>
        <w:pStyle w:val="ListParagraph"/>
        <w:numPr>
          <w:ilvl w:val="0"/>
          <w:numId w:val="9"/>
        </w:numPr>
        <w:spacing w:after="0" w:line="276" w:lineRule="auto"/>
        <w:rPr>
          <w:lang w:val="en-GB"/>
        </w:rPr>
      </w:pPr>
      <w:r w:rsidRPr="000559FF">
        <w:rPr>
          <w:b/>
          <w:lang w:val="en-GB"/>
        </w:rPr>
        <w:t>Ca</w:t>
      </w:r>
      <w:r w:rsidR="002A7B16" w:rsidRPr="000559FF">
        <w:rPr>
          <w:b/>
          <w:lang w:val="en-GB"/>
        </w:rPr>
        <w:t>s</w:t>
      </w:r>
      <w:r w:rsidRPr="000559FF">
        <w:rPr>
          <w:b/>
          <w:lang w:val="en-GB"/>
        </w:rPr>
        <w:t>h transfer programming</w:t>
      </w:r>
      <w:r w:rsidR="002A7B16" w:rsidRPr="000559FF">
        <w:rPr>
          <w:b/>
          <w:lang w:val="en-GB"/>
        </w:rPr>
        <w:t xml:space="preserve"> (CTP)</w:t>
      </w:r>
    </w:p>
    <w:p w14:paraId="09361CC7" w14:textId="6BD09A81" w:rsidR="0065404D" w:rsidRPr="000559FF" w:rsidRDefault="002A7B16" w:rsidP="009D2F00">
      <w:pPr>
        <w:spacing w:after="200" w:line="276" w:lineRule="auto"/>
        <w:rPr>
          <w:rFonts w:cs="Times New Roman"/>
          <w:lang w:val="en-GB"/>
        </w:rPr>
      </w:pPr>
      <w:r w:rsidRPr="000559FF">
        <w:rPr>
          <w:rFonts w:cs="Times New Roman"/>
          <w:lang w:val="en-GB"/>
        </w:rPr>
        <w:t xml:space="preserve">There seems to be a consensus among those interviewed that cash transfer programming, when it is appropriate in terms of proximity to functioning markets, and provided it is based on a proper analysis of vulnerabilities, capacities and threats, can enable participation, as affected people are able to choose what assistance to access. Nevertheless, CTP responses considered as part of this review were </w:t>
      </w:r>
      <w:r w:rsidR="00FA6BCB" w:rsidRPr="000559FF">
        <w:rPr>
          <w:rFonts w:cs="Times New Roman"/>
          <w:lang w:val="en-GB"/>
        </w:rPr>
        <w:t>v</w:t>
      </w:r>
      <w:r w:rsidRPr="000559FF">
        <w:rPr>
          <w:rFonts w:cs="Times New Roman"/>
          <w:lang w:val="en-GB"/>
        </w:rPr>
        <w:t xml:space="preserve">oucher-based rather than cash-based, and very little thought seemed to have gone into opportunities and challenges of moving towards unconditional cash transfers. Part of the reason for this, at least in northern Iraq, has been that unconditional cash has not been supported by government policies; other reasons include the challenge that such an approach poses to existing humanitarian approaches and coordination structures and the outstanding questions around how to measure </w:t>
      </w:r>
      <w:r w:rsidR="0065404D" w:rsidRPr="000559FF">
        <w:rPr>
          <w:rFonts w:cs="Times New Roman"/>
          <w:lang w:val="en-GB"/>
        </w:rPr>
        <w:t xml:space="preserve">its </w:t>
      </w:r>
      <w:r w:rsidRPr="000559FF">
        <w:rPr>
          <w:rFonts w:cs="Times New Roman"/>
          <w:lang w:val="en-GB"/>
        </w:rPr>
        <w:t>impact and outcomes</w:t>
      </w:r>
      <w:r w:rsidR="0065404D" w:rsidRPr="000559FF">
        <w:rPr>
          <w:rFonts w:cs="Times New Roman"/>
          <w:lang w:val="en-GB"/>
        </w:rPr>
        <w:t xml:space="preserve">. </w:t>
      </w:r>
    </w:p>
    <w:p w14:paraId="34E8294B" w14:textId="2ABCE8C3" w:rsidR="009D2F00" w:rsidRPr="000559FF" w:rsidRDefault="0065404D" w:rsidP="0065404D">
      <w:pPr>
        <w:spacing w:after="200" w:line="276" w:lineRule="auto"/>
        <w:rPr>
          <w:lang w:val="en-GB"/>
        </w:rPr>
      </w:pPr>
      <w:r w:rsidRPr="000559FF">
        <w:rPr>
          <w:rFonts w:cs="Times New Roman"/>
          <w:lang w:val="en-GB"/>
        </w:rPr>
        <w:t xml:space="preserve">A lot of work is being done at the global level, under the auspices of CaLP to address these issues, but limited discussions seem to be happening in – country within each organisation. It may be helpful to consider whether such discussions at country level, initiated from a participation perspective, could contribute new perspectives and ideas. </w:t>
      </w:r>
    </w:p>
    <w:p w14:paraId="6EB5F23C" w14:textId="77777777" w:rsidR="0065404D" w:rsidRPr="000559FF" w:rsidRDefault="0065404D" w:rsidP="0065404D">
      <w:pPr>
        <w:pStyle w:val="ListParagraph"/>
        <w:numPr>
          <w:ilvl w:val="0"/>
          <w:numId w:val="9"/>
        </w:numPr>
        <w:spacing w:after="0" w:line="276" w:lineRule="auto"/>
        <w:ind w:left="360"/>
        <w:rPr>
          <w:rFonts w:cs="Times New Roman"/>
          <w:lang w:val="en-GB"/>
        </w:rPr>
      </w:pPr>
      <w:r w:rsidRPr="000559FF">
        <w:rPr>
          <w:b/>
          <w:lang w:val="en-GB"/>
        </w:rPr>
        <w:t>T</w:t>
      </w:r>
      <w:r w:rsidR="002D58DB" w:rsidRPr="000559FF">
        <w:rPr>
          <w:b/>
          <w:lang w:val="en-GB"/>
        </w:rPr>
        <w:t xml:space="preserve">wo-way communication and </w:t>
      </w:r>
      <w:r w:rsidR="002953BD" w:rsidRPr="000559FF">
        <w:rPr>
          <w:b/>
          <w:lang w:val="en-GB"/>
        </w:rPr>
        <w:t>b</w:t>
      </w:r>
      <w:r w:rsidR="00A2630B" w:rsidRPr="000559FF">
        <w:rPr>
          <w:b/>
          <w:lang w:val="en-GB"/>
        </w:rPr>
        <w:t>alanc</w:t>
      </w:r>
      <w:r w:rsidRPr="000559FF">
        <w:rPr>
          <w:b/>
          <w:lang w:val="en-GB"/>
        </w:rPr>
        <w:t xml:space="preserve">ing </w:t>
      </w:r>
      <w:r w:rsidR="00A2630B" w:rsidRPr="000559FF">
        <w:rPr>
          <w:b/>
          <w:lang w:val="en-GB"/>
        </w:rPr>
        <w:t>inputs from participation with expert knowledge</w:t>
      </w:r>
    </w:p>
    <w:p w14:paraId="39E629BF" w14:textId="77777777" w:rsidR="003B1182" w:rsidRPr="000559FF" w:rsidRDefault="00C51054" w:rsidP="0065404D">
      <w:pPr>
        <w:spacing w:after="200" w:line="276" w:lineRule="auto"/>
        <w:rPr>
          <w:rFonts w:cs="Times New Roman"/>
          <w:lang w:val="en-GB"/>
        </w:rPr>
      </w:pPr>
      <w:r w:rsidRPr="000559FF">
        <w:rPr>
          <w:rFonts w:cs="Times New Roman"/>
          <w:lang w:val="en-GB"/>
        </w:rPr>
        <w:t xml:space="preserve">It is necessary to balance inputs from </w:t>
      </w:r>
      <w:r w:rsidR="003B1182" w:rsidRPr="000559FF">
        <w:rPr>
          <w:rFonts w:cs="Times New Roman"/>
          <w:lang w:val="en-GB"/>
        </w:rPr>
        <w:t>participation w</w:t>
      </w:r>
      <w:r w:rsidRPr="000559FF">
        <w:rPr>
          <w:rFonts w:cs="Times New Roman"/>
          <w:lang w:val="en-GB"/>
        </w:rPr>
        <w:t>ith expert</w:t>
      </w:r>
      <w:r w:rsidRPr="000559FF">
        <w:rPr>
          <w:b/>
          <w:lang w:val="en-GB"/>
        </w:rPr>
        <w:t xml:space="preserve"> </w:t>
      </w:r>
      <w:r w:rsidR="003B1182" w:rsidRPr="000559FF">
        <w:rPr>
          <w:rFonts w:cs="Times New Roman"/>
          <w:lang w:val="en-GB"/>
        </w:rPr>
        <w:t xml:space="preserve">knowledge, as </w:t>
      </w:r>
      <w:r w:rsidRPr="000559FF">
        <w:rPr>
          <w:rFonts w:cs="Times New Roman"/>
          <w:lang w:val="en-GB"/>
        </w:rPr>
        <w:t>some essential needs may not be expressed by affected people, either because the</w:t>
      </w:r>
      <w:r w:rsidR="003B1182" w:rsidRPr="000559FF">
        <w:rPr>
          <w:rFonts w:cs="Times New Roman"/>
          <w:lang w:val="en-GB"/>
        </w:rPr>
        <w:t xml:space="preserve">y </w:t>
      </w:r>
      <w:r w:rsidRPr="000559FF">
        <w:rPr>
          <w:rFonts w:cs="Times New Roman"/>
          <w:lang w:val="en-GB"/>
        </w:rPr>
        <w:t>relate to prevention</w:t>
      </w:r>
      <w:r w:rsidR="003B1182" w:rsidRPr="000559FF">
        <w:rPr>
          <w:rFonts w:cs="Times New Roman"/>
          <w:lang w:val="en-GB"/>
        </w:rPr>
        <w:t xml:space="preserve"> of epidemics or public health hazards</w:t>
      </w:r>
      <w:r w:rsidRPr="000559FF">
        <w:rPr>
          <w:rFonts w:cs="Times New Roman"/>
          <w:lang w:val="en-GB"/>
        </w:rPr>
        <w:t xml:space="preserve"> or because of stigma, such as for </w:t>
      </w:r>
      <w:r w:rsidR="003B1182" w:rsidRPr="000559FF">
        <w:rPr>
          <w:rFonts w:cs="Times New Roman"/>
          <w:lang w:val="en-GB"/>
        </w:rPr>
        <w:t>example in the case of mental health</w:t>
      </w:r>
      <w:r w:rsidRPr="000559FF">
        <w:rPr>
          <w:rFonts w:cs="Times New Roman"/>
          <w:lang w:val="en-GB"/>
        </w:rPr>
        <w:t xml:space="preserve">. </w:t>
      </w:r>
    </w:p>
    <w:p w14:paraId="314F1ECA" w14:textId="15ABA208" w:rsidR="00590208" w:rsidRDefault="003B1182" w:rsidP="00DA1EE8">
      <w:pPr>
        <w:spacing w:after="200" w:line="276" w:lineRule="auto"/>
        <w:rPr>
          <w:rFonts w:cs="Times New Roman"/>
          <w:lang w:val="en-GB"/>
        </w:rPr>
      </w:pPr>
      <w:r w:rsidRPr="000559FF">
        <w:rPr>
          <w:rFonts w:cs="Times New Roman"/>
          <w:lang w:val="en-GB"/>
        </w:rPr>
        <w:t xml:space="preserve">To ensure that </w:t>
      </w:r>
      <w:r w:rsidR="00C51054" w:rsidRPr="000559FF">
        <w:rPr>
          <w:rFonts w:cs="Times New Roman"/>
          <w:lang w:val="en-GB"/>
        </w:rPr>
        <w:t xml:space="preserve">affected people </w:t>
      </w:r>
      <w:r w:rsidRPr="000559FF">
        <w:rPr>
          <w:rFonts w:cs="Times New Roman"/>
          <w:lang w:val="en-GB"/>
        </w:rPr>
        <w:t xml:space="preserve">can be </w:t>
      </w:r>
      <w:r w:rsidR="00C51054" w:rsidRPr="000559FF">
        <w:rPr>
          <w:rFonts w:cs="Times New Roman"/>
          <w:lang w:val="en-GB"/>
        </w:rPr>
        <w:t xml:space="preserve">fully involved in informed decision-making, it is crucial to make them aware of the </w:t>
      </w:r>
      <w:r w:rsidRPr="000559FF">
        <w:rPr>
          <w:rFonts w:cs="Times New Roman"/>
          <w:lang w:val="en-GB"/>
        </w:rPr>
        <w:t xml:space="preserve">relevance and importance of responding to such unexpressed needs, of the </w:t>
      </w:r>
      <w:r w:rsidR="00C51054" w:rsidRPr="000559FF">
        <w:rPr>
          <w:rFonts w:cs="Times New Roman"/>
          <w:lang w:val="en-GB"/>
        </w:rPr>
        <w:t>characteristics (ro</w:t>
      </w:r>
      <w:r w:rsidR="00706849">
        <w:rPr>
          <w:rFonts w:cs="Times New Roman"/>
          <w:lang w:val="en-GB"/>
        </w:rPr>
        <w:t>les, mandates, financing mechanisms and constraints</w:t>
      </w:r>
      <w:r w:rsidR="00C51054" w:rsidRPr="000559FF">
        <w:rPr>
          <w:rFonts w:cs="Times New Roman"/>
          <w:lang w:val="en-GB"/>
        </w:rPr>
        <w:t>, etc</w:t>
      </w:r>
      <w:r w:rsidRPr="000559FF">
        <w:rPr>
          <w:rFonts w:cs="Times New Roman"/>
          <w:lang w:val="en-GB"/>
        </w:rPr>
        <w:t xml:space="preserve">.) of the organisations </w:t>
      </w:r>
      <w:r w:rsidR="00C51054" w:rsidRPr="000559FF">
        <w:rPr>
          <w:rFonts w:cs="Times New Roman"/>
          <w:lang w:val="en-GB"/>
        </w:rPr>
        <w:t xml:space="preserve">serving them, and </w:t>
      </w:r>
      <w:r w:rsidRPr="000559FF">
        <w:rPr>
          <w:rFonts w:cs="Times New Roman"/>
          <w:lang w:val="en-GB"/>
        </w:rPr>
        <w:t xml:space="preserve">of </w:t>
      </w:r>
      <w:r w:rsidR="00C51054" w:rsidRPr="000559FF">
        <w:rPr>
          <w:rFonts w:cs="Times New Roman"/>
          <w:lang w:val="en-GB"/>
        </w:rPr>
        <w:t xml:space="preserve">the technical or strategic framework of certain interventions. </w:t>
      </w:r>
      <w:r w:rsidRPr="000559FF">
        <w:rPr>
          <w:rFonts w:cs="Times New Roman"/>
          <w:lang w:val="en-GB"/>
        </w:rPr>
        <w:t>The review teams did not see any evidence of clear strategies</w:t>
      </w:r>
      <w:r w:rsidR="00C51054" w:rsidRPr="000559FF">
        <w:rPr>
          <w:rFonts w:cs="Times New Roman"/>
          <w:lang w:val="en-GB"/>
        </w:rPr>
        <w:t xml:space="preserve"> to </w:t>
      </w:r>
      <w:r w:rsidRPr="000559FF">
        <w:rPr>
          <w:rFonts w:cs="Times New Roman"/>
          <w:lang w:val="en-GB"/>
        </w:rPr>
        <w:t xml:space="preserve">provide such information to </w:t>
      </w:r>
      <w:r w:rsidR="00C51054" w:rsidRPr="000559FF">
        <w:rPr>
          <w:rFonts w:cs="Times New Roman"/>
          <w:lang w:val="en-GB"/>
        </w:rPr>
        <w:t>affected people.</w:t>
      </w:r>
      <w:r w:rsidR="00590208">
        <w:rPr>
          <w:rFonts w:cs="Times New Roman"/>
          <w:lang w:val="en-GB"/>
        </w:rPr>
        <w:t xml:space="preserve"> </w:t>
      </w:r>
    </w:p>
    <w:p w14:paraId="66F72686" w14:textId="5E60594F" w:rsidR="00C51054" w:rsidRPr="00590208" w:rsidRDefault="003B1182" w:rsidP="00DA1EE8">
      <w:pPr>
        <w:spacing w:after="200" w:line="276" w:lineRule="auto"/>
        <w:rPr>
          <w:rFonts w:cs="Times New Roman"/>
          <w:lang w:val="en-GB"/>
        </w:rPr>
      </w:pPr>
      <w:r w:rsidRPr="000559FF">
        <w:rPr>
          <w:rFonts w:cs="Times New Roman"/>
          <w:lang w:val="en-GB"/>
        </w:rPr>
        <w:t xml:space="preserve">Organisations working with the same populations need to consider pooling resources to </w:t>
      </w:r>
      <w:r w:rsidR="00C51054" w:rsidRPr="000559FF">
        <w:rPr>
          <w:rFonts w:cs="Times New Roman"/>
          <w:lang w:val="en-GB"/>
        </w:rPr>
        <w:t xml:space="preserve">provide affected people with basic information on their characteristics and translate </w:t>
      </w:r>
      <w:r w:rsidRPr="000559FF">
        <w:rPr>
          <w:rFonts w:cs="Times New Roman"/>
          <w:lang w:val="en-GB"/>
        </w:rPr>
        <w:t>relevant expert</w:t>
      </w:r>
      <w:r w:rsidR="00C51054" w:rsidRPr="000559FF">
        <w:rPr>
          <w:rFonts w:cs="Times New Roman"/>
          <w:lang w:val="en-GB"/>
        </w:rPr>
        <w:t xml:space="preserve"> knowledge in</w:t>
      </w:r>
      <w:r w:rsidRPr="000559FF">
        <w:rPr>
          <w:rFonts w:cs="Times New Roman"/>
          <w:lang w:val="en-GB"/>
        </w:rPr>
        <w:t xml:space="preserve">to </w:t>
      </w:r>
      <w:r w:rsidR="00C51054" w:rsidRPr="000559FF">
        <w:rPr>
          <w:rFonts w:cs="Times New Roman"/>
          <w:lang w:val="en-GB"/>
        </w:rPr>
        <w:t>language that can be easily un</w:t>
      </w:r>
      <w:r w:rsidRPr="000559FF">
        <w:rPr>
          <w:rFonts w:cs="Times New Roman"/>
          <w:lang w:val="en-GB"/>
        </w:rPr>
        <w:t xml:space="preserve">derstood. </w:t>
      </w:r>
    </w:p>
    <w:bookmarkEnd w:id="0"/>
    <w:p w14:paraId="4BA20BC3" w14:textId="08B7E366" w:rsidR="00354E5A" w:rsidRPr="000559FF" w:rsidRDefault="00FA7493" w:rsidP="00FA7493">
      <w:pPr>
        <w:pStyle w:val="ListParagraph"/>
        <w:numPr>
          <w:ilvl w:val="0"/>
          <w:numId w:val="8"/>
        </w:numPr>
        <w:spacing w:after="0" w:line="276" w:lineRule="auto"/>
        <w:rPr>
          <w:b/>
          <w:lang w:val="en-GB"/>
        </w:rPr>
      </w:pPr>
      <w:r w:rsidRPr="000559FF">
        <w:rPr>
          <w:b/>
          <w:lang w:val="en-GB"/>
        </w:rPr>
        <w:t>C</w:t>
      </w:r>
      <w:r w:rsidR="006A3BD6" w:rsidRPr="000559FF">
        <w:rPr>
          <w:b/>
          <w:lang w:val="en-GB"/>
        </w:rPr>
        <w:t>apacities and approaches</w:t>
      </w:r>
      <w:r w:rsidRPr="000559FF">
        <w:rPr>
          <w:b/>
          <w:lang w:val="en-GB"/>
        </w:rPr>
        <w:t xml:space="preserve"> to participation</w:t>
      </w:r>
    </w:p>
    <w:p w14:paraId="7291A514" w14:textId="67A2C693" w:rsidR="00354E5A" w:rsidRPr="000559FF" w:rsidRDefault="00354E5A" w:rsidP="00FA7493">
      <w:pPr>
        <w:spacing w:after="0"/>
        <w:rPr>
          <w:rFonts w:cs="Times New Roman"/>
          <w:lang w:val="en-GB"/>
        </w:rPr>
      </w:pPr>
      <w:r w:rsidRPr="000559FF">
        <w:rPr>
          <w:rFonts w:cs="Times New Roman"/>
          <w:lang w:val="en-GB"/>
        </w:rPr>
        <w:t>Even</w:t>
      </w:r>
      <w:r w:rsidR="00FA7493" w:rsidRPr="000559FF">
        <w:rPr>
          <w:rFonts w:cs="Times New Roman"/>
          <w:lang w:val="en-GB"/>
        </w:rPr>
        <w:t xml:space="preserve"> </w:t>
      </w:r>
      <w:r w:rsidRPr="000559FF">
        <w:rPr>
          <w:rFonts w:cs="Times New Roman"/>
          <w:lang w:val="en-GB"/>
        </w:rPr>
        <w:t>thoug</w:t>
      </w:r>
      <w:r w:rsidR="00FA7493" w:rsidRPr="000559FF">
        <w:rPr>
          <w:rFonts w:cs="Times New Roman"/>
          <w:lang w:val="en-GB"/>
        </w:rPr>
        <w:t xml:space="preserve">h </w:t>
      </w:r>
      <w:r w:rsidRPr="000559FF">
        <w:rPr>
          <w:rFonts w:cs="Times New Roman"/>
          <w:lang w:val="en-GB"/>
        </w:rPr>
        <w:t xml:space="preserve">organisations are </w:t>
      </w:r>
      <w:r w:rsidR="00FA7493" w:rsidRPr="000559FF">
        <w:rPr>
          <w:rFonts w:cs="Times New Roman"/>
          <w:lang w:val="en-GB"/>
        </w:rPr>
        <w:t xml:space="preserve">generally committed to participation, </w:t>
      </w:r>
      <w:r w:rsidRPr="000559FF">
        <w:rPr>
          <w:rFonts w:cs="Times New Roman"/>
          <w:lang w:val="en-GB"/>
        </w:rPr>
        <w:t>capacities</w:t>
      </w:r>
      <w:r w:rsidR="00FA7493" w:rsidRPr="000559FF">
        <w:rPr>
          <w:rFonts w:cs="Times New Roman"/>
          <w:lang w:val="en-GB"/>
        </w:rPr>
        <w:t xml:space="preserve">, approaches </w:t>
      </w:r>
      <w:r w:rsidRPr="000559FF">
        <w:rPr>
          <w:rFonts w:cs="Times New Roman"/>
          <w:lang w:val="en-GB"/>
        </w:rPr>
        <w:t xml:space="preserve">and tools are very different from one organisation to another. This is especially problematic when different participatory approaches are adopted </w:t>
      </w:r>
      <w:r w:rsidR="00FA7493" w:rsidRPr="000559FF">
        <w:rPr>
          <w:rFonts w:cs="Times New Roman"/>
          <w:lang w:val="en-GB"/>
        </w:rPr>
        <w:t xml:space="preserve">in relation to the </w:t>
      </w:r>
      <w:r w:rsidRPr="000559FF">
        <w:rPr>
          <w:rFonts w:cs="Times New Roman"/>
          <w:lang w:val="en-GB"/>
        </w:rPr>
        <w:t xml:space="preserve">same affected population. </w:t>
      </w:r>
      <w:r w:rsidR="00FA7493" w:rsidRPr="000559FF">
        <w:rPr>
          <w:rFonts w:cs="Times New Roman"/>
          <w:lang w:val="en-GB"/>
        </w:rPr>
        <w:t xml:space="preserve">At the very least, organisations need to ensure that their participatory </w:t>
      </w:r>
      <w:r w:rsidRPr="000559FF">
        <w:rPr>
          <w:rFonts w:cs="Times New Roman"/>
          <w:lang w:val="en-GB"/>
        </w:rPr>
        <w:t xml:space="preserve">approaches </w:t>
      </w:r>
      <w:r w:rsidR="00FA7493" w:rsidRPr="000559FF">
        <w:rPr>
          <w:rFonts w:cs="Times New Roman"/>
          <w:lang w:val="en-GB"/>
        </w:rPr>
        <w:t xml:space="preserve">are not hampering each other’s. </w:t>
      </w:r>
      <w:r w:rsidR="00281AAA">
        <w:rPr>
          <w:rFonts w:cs="Times New Roman"/>
          <w:lang w:val="en-GB"/>
        </w:rPr>
        <w:t xml:space="preserve">In northern Uganda, it appeared that the more organisations are active </w:t>
      </w:r>
      <w:r w:rsidR="00590208">
        <w:rPr>
          <w:rFonts w:cs="Times New Roman"/>
          <w:lang w:val="en-GB"/>
        </w:rPr>
        <w:t>in each</w:t>
      </w:r>
      <w:r w:rsidR="00281AAA">
        <w:rPr>
          <w:rFonts w:cs="Times New Roman"/>
          <w:lang w:val="en-GB"/>
        </w:rPr>
        <w:t xml:space="preserve"> settlement, the more likely it is that they end up competing over incentives for affected people involvement in project related committees.</w:t>
      </w:r>
    </w:p>
    <w:p w14:paraId="5876D7AA" w14:textId="293CB4B5" w:rsidR="00354E5A" w:rsidRPr="000559FF" w:rsidRDefault="00354E5A" w:rsidP="00354E5A">
      <w:pPr>
        <w:spacing w:after="0"/>
        <w:rPr>
          <w:rFonts w:cs="Times New Roman"/>
          <w:lang w:val="en-GB"/>
        </w:rPr>
      </w:pPr>
    </w:p>
    <w:p w14:paraId="623C8812" w14:textId="56B0CCF2" w:rsidR="00354E5A" w:rsidRPr="000559FF" w:rsidRDefault="00FA7493" w:rsidP="00FA7493">
      <w:pPr>
        <w:spacing w:after="200" w:line="276" w:lineRule="auto"/>
        <w:jc w:val="both"/>
        <w:rPr>
          <w:rFonts w:cs="Times New Roman"/>
          <w:lang w:val="en-GB"/>
        </w:rPr>
      </w:pPr>
      <w:r w:rsidRPr="000559FF">
        <w:rPr>
          <w:lang w:val="en-GB"/>
        </w:rPr>
        <w:t xml:space="preserve">There seems to be an unexamined assumption that participation is impossible in the initial phase of acute emergency response, which then impacts negatively on participation throughout the programme cycle, especially when organisations do not have unearmarked resources that they can allocate to participation outside of specific project funding. </w:t>
      </w:r>
    </w:p>
    <w:p w14:paraId="69683210" w14:textId="6832076A" w:rsidR="00354E5A" w:rsidRDefault="00FA7493" w:rsidP="003767A0">
      <w:pPr>
        <w:spacing w:after="0"/>
        <w:rPr>
          <w:rFonts w:cs="Times New Roman"/>
          <w:lang w:val="en-GB"/>
        </w:rPr>
      </w:pPr>
      <w:r w:rsidRPr="000559FF">
        <w:rPr>
          <w:rFonts w:cs="Times New Roman"/>
          <w:lang w:val="en-GB"/>
        </w:rPr>
        <w:t xml:space="preserve">The organisations reviewed in the northern Uganda and northern Iraq appeared to have different approaches and capacities </w:t>
      </w:r>
      <w:r w:rsidR="00FA6BCB" w:rsidRPr="000559FF">
        <w:rPr>
          <w:rFonts w:cs="Times New Roman"/>
          <w:lang w:val="en-GB"/>
        </w:rPr>
        <w:t xml:space="preserve">for </w:t>
      </w:r>
      <w:r w:rsidR="003767A0" w:rsidRPr="000559FF">
        <w:rPr>
          <w:rFonts w:cs="Times New Roman"/>
          <w:lang w:val="en-GB"/>
        </w:rPr>
        <w:t>engaging with different groups of affected people, based on sex, age, ethnicity and disability. Beyond ensuring the capacity within an organisation to engage with each relevant group, understanding cultural and social norms as they relate to</w:t>
      </w:r>
      <w:r w:rsidR="00FA6BCB" w:rsidRPr="000559FF">
        <w:rPr>
          <w:rFonts w:cs="Times New Roman"/>
          <w:lang w:val="en-GB"/>
        </w:rPr>
        <w:t xml:space="preserve"> power and inclusion is </w:t>
      </w:r>
      <w:r w:rsidR="003767A0" w:rsidRPr="000559FF">
        <w:rPr>
          <w:rFonts w:cs="Times New Roman"/>
          <w:lang w:val="en-GB"/>
        </w:rPr>
        <w:t>essential. One of the recommendation</w:t>
      </w:r>
      <w:r w:rsidR="00281AAA">
        <w:rPr>
          <w:rFonts w:cs="Times New Roman"/>
          <w:lang w:val="en-GB"/>
        </w:rPr>
        <w:t>s</w:t>
      </w:r>
      <w:r w:rsidR="003767A0" w:rsidRPr="000559FF">
        <w:rPr>
          <w:rFonts w:cs="Times New Roman"/>
          <w:lang w:val="en-GB"/>
        </w:rPr>
        <w:t xml:space="preserve"> put forward by several reviewers was to consider bringing in anthropologists at different stages of the response, to ensure that organisations are not inadvertently creating or re-enforcing conflict or discrimination across different gr</w:t>
      </w:r>
      <w:r w:rsidR="00FA6BCB" w:rsidRPr="000559FF">
        <w:rPr>
          <w:rFonts w:cs="Times New Roman"/>
          <w:lang w:val="en-GB"/>
        </w:rPr>
        <w:t>oups</w:t>
      </w:r>
      <w:r w:rsidR="003767A0" w:rsidRPr="000559FF">
        <w:rPr>
          <w:rFonts w:cs="Times New Roman"/>
          <w:lang w:val="en-GB"/>
        </w:rPr>
        <w:t xml:space="preserve">.   </w:t>
      </w:r>
    </w:p>
    <w:p w14:paraId="70367346" w14:textId="34ED3D92" w:rsidR="00FD7374" w:rsidRPr="000559FF" w:rsidRDefault="00FD7374" w:rsidP="00FD7374">
      <w:pPr>
        <w:pStyle w:val="Heading1"/>
        <w:keepNext/>
        <w:keepLines/>
        <w:numPr>
          <w:ilvl w:val="0"/>
          <w:numId w:val="4"/>
        </w:numPr>
        <w:spacing w:before="240" w:beforeAutospacing="0" w:after="240" w:afterAutospacing="0" w:line="259" w:lineRule="auto"/>
        <w:rPr>
          <w:rFonts w:asciiTheme="minorHAnsi" w:eastAsiaTheme="majorEastAsia" w:hAnsiTheme="minorHAnsi"/>
          <w:bCs w:val="0"/>
          <w:kern w:val="0"/>
          <w:sz w:val="22"/>
          <w:szCs w:val="22"/>
          <w:lang w:val="en-GB" w:eastAsia="en-US"/>
        </w:rPr>
      </w:pPr>
      <w:r>
        <w:rPr>
          <w:rFonts w:asciiTheme="minorHAnsi" w:eastAsiaTheme="majorEastAsia" w:hAnsiTheme="minorHAnsi"/>
          <w:bCs w:val="0"/>
          <w:kern w:val="0"/>
          <w:sz w:val="22"/>
          <w:szCs w:val="22"/>
          <w:lang w:val="en-GB" w:eastAsia="en-US"/>
        </w:rPr>
        <w:t>CONCLUSIONS</w:t>
      </w:r>
    </w:p>
    <w:p w14:paraId="41DAB262" w14:textId="27F882D0" w:rsidR="00380975" w:rsidRDefault="00FD7374" w:rsidP="00FA6C6B">
      <w:pPr>
        <w:rPr>
          <w:rFonts w:ascii="Calibri" w:hAnsi="Calibri" w:cs="Calibri"/>
          <w:color w:val="000000"/>
          <w:lang w:val="en-GB"/>
        </w:rPr>
      </w:pPr>
      <w:r>
        <w:rPr>
          <w:rFonts w:ascii="Calibri" w:hAnsi="Calibri" w:cs="Calibri"/>
          <w:color w:val="000000"/>
          <w:lang w:val="en-GB"/>
        </w:rPr>
        <w:t xml:space="preserve">This peer review has demonstrated SCHR organisations’ commitment and dedication to participation. It has also shown to what extent systemic constraints to an affected people </w:t>
      </w:r>
      <w:r w:rsidR="00380975">
        <w:rPr>
          <w:rFonts w:ascii="Calibri" w:hAnsi="Calibri" w:cs="Calibri"/>
          <w:color w:val="000000"/>
          <w:lang w:val="en-GB"/>
        </w:rPr>
        <w:t>centred</w:t>
      </w:r>
      <w:r>
        <w:rPr>
          <w:rFonts w:ascii="Calibri" w:hAnsi="Calibri" w:cs="Calibri"/>
          <w:color w:val="000000"/>
          <w:lang w:val="en-GB"/>
        </w:rPr>
        <w:t xml:space="preserve"> approach to humanitarian decision – making </w:t>
      </w:r>
      <w:r w:rsidR="00BB2F33">
        <w:rPr>
          <w:rFonts w:ascii="Calibri" w:hAnsi="Calibri" w:cs="Calibri"/>
          <w:color w:val="000000"/>
          <w:lang w:val="en-GB"/>
        </w:rPr>
        <w:t xml:space="preserve">are </w:t>
      </w:r>
      <w:r w:rsidR="00380975">
        <w:rPr>
          <w:rFonts w:ascii="Calibri" w:hAnsi="Calibri" w:cs="Calibri"/>
          <w:color w:val="000000"/>
          <w:lang w:val="en-GB"/>
        </w:rPr>
        <w:t>translated into organisations’ systems and ways of working,</w:t>
      </w:r>
      <w:r w:rsidR="009E6070">
        <w:rPr>
          <w:rFonts w:ascii="Calibri" w:hAnsi="Calibri" w:cs="Calibri"/>
          <w:color w:val="000000"/>
          <w:lang w:val="en-GB"/>
        </w:rPr>
        <w:t xml:space="preserve"> with these then further reinforcing the systemic </w:t>
      </w:r>
      <w:r w:rsidR="008C755E">
        <w:rPr>
          <w:rFonts w:ascii="Calibri" w:hAnsi="Calibri" w:cs="Calibri"/>
          <w:color w:val="000000"/>
          <w:lang w:val="en-GB"/>
        </w:rPr>
        <w:t>nature of these constraints</w:t>
      </w:r>
      <w:r w:rsidR="009E6070">
        <w:rPr>
          <w:rFonts w:ascii="Calibri" w:hAnsi="Calibri" w:cs="Calibri"/>
          <w:color w:val="000000"/>
          <w:lang w:val="en-GB"/>
        </w:rPr>
        <w:t>.</w:t>
      </w:r>
      <w:r w:rsidR="00FA6C6B">
        <w:rPr>
          <w:rFonts w:ascii="Calibri" w:hAnsi="Calibri" w:cs="Calibri"/>
          <w:color w:val="000000"/>
          <w:lang w:val="en-GB"/>
        </w:rPr>
        <w:t xml:space="preserve"> Making greater participation a reality is going to requir</w:t>
      </w:r>
      <w:r w:rsidR="00BB2F33">
        <w:rPr>
          <w:rFonts w:ascii="Calibri" w:hAnsi="Calibri" w:cs="Calibri"/>
          <w:color w:val="000000"/>
          <w:lang w:val="en-GB"/>
        </w:rPr>
        <w:t xml:space="preserve">es approaches and measures aimed at systemic, not only organisational, </w:t>
      </w:r>
      <w:r w:rsidR="00FA6C6B">
        <w:rPr>
          <w:rFonts w:ascii="Calibri" w:hAnsi="Calibri" w:cs="Calibri"/>
          <w:color w:val="000000"/>
          <w:lang w:val="en-GB"/>
        </w:rPr>
        <w:t>impact</w:t>
      </w:r>
      <w:r w:rsidR="00BB2F33">
        <w:rPr>
          <w:rFonts w:ascii="Calibri" w:hAnsi="Calibri" w:cs="Calibri"/>
          <w:color w:val="000000"/>
          <w:lang w:val="en-GB"/>
        </w:rPr>
        <w:t xml:space="preserve">. </w:t>
      </w:r>
      <w:r w:rsidR="00FA6C6B">
        <w:rPr>
          <w:rFonts w:ascii="Calibri" w:hAnsi="Calibri" w:cs="Calibri"/>
          <w:color w:val="000000"/>
          <w:lang w:val="en-GB"/>
        </w:rPr>
        <w:t xml:space="preserve"> </w:t>
      </w:r>
    </w:p>
    <w:p w14:paraId="40D8D34E" w14:textId="0D84DB96" w:rsidR="00590208" w:rsidRPr="00590208" w:rsidRDefault="00380975" w:rsidP="00590208">
      <w:pPr>
        <w:rPr>
          <w:rFonts w:ascii="Calibri" w:hAnsi="Calibri" w:cs="Calibri"/>
          <w:color w:val="000000"/>
          <w:lang w:val="en-GB"/>
        </w:rPr>
      </w:pPr>
      <w:r>
        <w:rPr>
          <w:rFonts w:ascii="Calibri" w:hAnsi="Calibri" w:cs="Calibri"/>
          <w:color w:val="000000"/>
          <w:lang w:val="en-GB"/>
        </w:rPr>
        <w:t>This report aims at providing an understanding of the current state of play of participatio</w:t>
      </w:r>
      <w:r w:rsidR="008C755E">
        <w:rPr>
          <w:rFonts w:ascii="Calibri" w:hAnsi="Calibri" w:cs="Calibri"/>
          <w:color w:val="000000"/>
          <w:lang w:val="en-GB"/>
        </w:rPr>
        <w:t xml:space="preserve">n, as carried out by SCHR organisations. It purposely does not provide any recommendations for action, even though a broad course of action may be implicit in some of the findings. It is anticipated that each SCHR organisation will review these findings internally, to decide on appropriate priorities and action at an organisational level, as well as </w:t>
      </w:r>
      <w:r w:rsidR="00590208">
        <w:rPr>
          <w:rFonts w:ascii="Calibri" w:hAnsi="Calibri" w:cs="Calibri"/>
          <w:color w:val="000000"/>
          <w:lang w:val="en-GB"/>
        </w:rPr>
        <w:t>on its contribution to</w:t>
      </w:r>
      <w:r w:rsidR="008C755E">
        <w:rPr>
          <w:rFonts w:ascii="Calibri" w:hAnsi="Calibri" w:cs="Calibri"/>
          <w:color w:val="000000"/>
          <w:lang w:val="en-GB"/>
        </w:rPr>
        <w:t xml:space="preserve"> </w:t>
      </w:r>
      <w:r w:rsidR="00590208">
        <w:rPr>
          <w:rFonts w:ascii="Calibri" w:hAnsi="Calibri" w:cs="Calibri"/>
          <w:color w:val="000000"/>
          <w:lang w:val="en-GB"/>
        </w:rPr>
        <w:t xml:space="preserve">SCHR’s </w:t>
      </w:r>
      <w:r w:rsidR="008C755E" w:rsidRPr="008C755E">
        <w:rPr>
          <w:lang w:val="en-GB"/>
        </w:rPr>
        <w:t>High-Level Conference</w:t>
      </w:r>
      <w:r w:rsidR="008C755E">
        <w:rPr>
          <w:rFonts w:eastAsia="Calibri" w:cstheme="minorHAnsi"/>
          <w:lang w:val="en-GB" w:eastAsia="fr-CH"/>
        </w:rPr>
        <w:t xml:space="preserve"> </w:t>
      </w:r>
      <w:r w:rsidR="00590208">
        <w:rPr>
          <w:rFonts w:eastAsia="Calibri" w:cstheme="minorHAnsi"/>
          <w:lang w:val="en-GB" w:eastAsia="fr-CH"/>
        </w:rPr>
        <w:t>in January 2018 which aims at sector-wide learning</w:t>
      </w:r>
      <w:r w:rsidR="00FA6C6B">
        <w:rPr>
          <w:rFonts w:eastAsia="Calibri" w:cstheme="minorHAnsi"/>
          <w:lang w:val="en-GB" w:eastAsia="fr-CH"/>
        </w:rPr>
        <w:t xml:space="preserve"> and </w:t>
      </w:r>
      <w:r w:rsidR="00590208">
        <w:rPr>
          <w:rFonts w:eastAsia="Calibri" w:cstheme="minorHAnsi"/>
          <w:lang w:val="en-GB" w:eastAsia="fr-CH"/>
        </w:rPr>
        <w:t>an</w:t>
      </w:r>
      <w:r w:rsidR="00590208" w:rsidRPr="00590208">
        <w:rPr>
          <w:lang w:val="en-GB"/>
        </w:rPr>
        <w:t xml:space="preserve"> agenda to make the commitment to greater participation and local ownership a reality.</w:t>
      </w:r>
    </w:p>
    <w:p w14:paraId="65E63E95" w14:textId="6A88E3F6" w:rsidR="008C755E" w:rsidRDefault="008C755E" w:rsidP="00590208">
      <w:pPr>
        <w:rPr>
          <w:rFonts w:ascii="Calibri" w:hAnsi="Calibri" w:cs="Calibri"/>
          <w:color w:val="000000"/>
          <w:lang w:val="en-GB"/>
        </w:rPr>
      </w:pPr>
    </w:p>
    <w:p w14:paraId="4718E58E" w14:textId="77777777" w:rsidR="00590208" w:rsidRDefault="00590208">
      <w:pPr>
        <w:rPr>
          <w:rFonts w:eastAsiaTheme="majorEastAsia" w:cs="Times New Roman"/>
          <w:b/>
          <w:sz w:val="24"/>
          <w:szCs w:val="20"/>
          <w:lang w:val="en-GB"/>
        </w:rPr>
      </w:pPr>
      <w:bookmarkStart w:id="10" w:name="_Toc494950949"/>
      <w:r>
        <w:rPr>
          <w:rFonts w:eastAsiaTheme="majorEastAsia"/>
          <w:bCs/>
          <w:sz w:val="24"/>
          <w:szCs w:val="20"/>
          <w:lang w:val="en-GB"/>
        </w:rPr>
        <w:br w:type="page"/>
      </w:r>
      <w:bookmarkStart w:id="11" w:name="_GoBack"/>
      <w:bookmarkEnd w:id="11"/>
    </w:p>
    <w:p w14:paraId="40DE38D1" w14:textId="3C37F348" w:rsidR="004A3B02" w:rsidRPr="000559FF" w:rsidRDefault="00E00A3C" w:rsidP="00A7709A">
      <w:pPr>
        <w:pStyle w:val="Heading1"/>
        <w:keepNext/>
        <w:keepLines/>
        <w:spacing w:before="240" w:beforeAutospacing="0" w:after="240" w:afterAutospacing="0" w:line="259" w:lineRule="auto"/>
        <w:rPr>
          <w:rFonts w:asciiTheme="minorHAnsi" w:eastAsiaTheme="majorEastAsia" w:hAnsiTheme="minorHAnsi"/>
          <w:bCs w:val="0"/>
          <w:kern w:val="0"/>
          <w:sz w:val="24"/>
          <w:szCs w:val="20"/>
          <w:lang w:val="en-GB" w:eastAsia="en-US"/>
        </w:rPr>
      </w:pPr>
      <w:r w:rsidRPr="000559FF">
        <w:rPr>
          <w:rFonts w:asciiTheme="minorHAnsi" w:eastAsiaTheme="majorEastAsia" w:hAnsiTheme="minorHAnsi"/>
          <w:bCs w:val="0"/>
          <w:kern w:val="0"/>
          <w:sz w:val="24"/>
          <w:szCs w:val="20"/>
          <w:lang w:val="en-GB" w:eastAsia="en-US"/>
        </w:rPr>
        <w:t xml:space="preserve">Annex </w:t>
      </w:r>
      <w:r w:rsidRPr="000559FF">
        <w:rPr>
          <w:rFonts w:asciiTheme="minorHAnsi" w:eastAsiaTheme="majorEastAsia" w:hAnsiTheme="minorHAnsi"/>
          <w:bCs w:val="0"/>
          <w:kern w:val="0"/>
          <w:sz w:val="24"/>
          <w:szCs w:val="20"/>
          <w:lang w:val="en-GB" w:eastAsia="en-US"/>
        </w:rPr>
        <w:fldChar w:fldCharType="begin"/>
      </w:r>
      <w:r w:rsidRPr="000559FF">
        <w:rPr>
          <w:rFonts w:asciiTheme="minorHAnsi" w:eastAsiaTheme="majorEastAsia" w:hAnsiTheme="minorHAnsi"/>
          <w:bCs w:val="0"/>
          <w:kern w:val="0"/>
          <w:sz w:val="24"/>
          <w:szCs w:val="20"/>
          <w:lang w:val="en-GB" w:eastAsia="en-US"/>
        </w:rPr>
        <w:instrText xml:space="preserve"> SEQ Annexe \* ARABIC </w:instrText>
      </w:r>
      <w:r w:rsidRPr="000559FF">
        <w:rPr>
          <w:rFonts w:asciiTheme="minorHAnsi" w:eastAsiaTheme="majorEastAsia" w:hAnsiTheme="minorHAnsi"/>
          <w:bCs w:val="0"/>
          <w:kern w:val="0"/>
          <w:sz w:val="24"/>
          <w:szCs w:val="20"/>
          <w:lang w:val="en-GB" w:eastAsia="en-US"/>
        </w:rPr>
        <w:fldChar w:fldCharType="separate"/>
      </w:r>
      <w:r w:rsidR="002701AC" w:rsidRPr="000559FF">
        <w:rPr>
          <w:rFonts w:asciiTheme="minorHAnsi" w:eastAsiaTheme="majorEastAsia" w:hAnsiTheme="minorHAnsi"/>
          <w:bCs w:val="0"/>
          <w:noProof/>
          <w:kern w:val="0"/>
          <w:sz w:val="24"/>
          <w:szCs w:val="20"/>
          <w:lang w:val="en-GB" w:eastAsia="en-US"/>
        </w:rPr>
        <w:t>1</w:t>
      </w:r>
      <w:r w:rsidRPr="000559FF">
        <w:rPr>
          <w:rFonts w:asciiTheme="minorHAnsi" w:eastAsiaTheme="majorEastAsia" w:hAnsiTheme="minorHAnsi"/>
          <w:bCs w:val="0"/>
          <w:kern w:val="0"/>
          <w:sz w:val="24"/>
          <w:szCs w:val="20"/>
          <w:lang w:val="en-GB" w:eastAsia="en-US"/>
        </w:rPr>
        <w:fldChar w:fldCharType="end"/>
      </w:r>
      <w:r w:rsidRPr="000559FF">
        <w:rPr>
          <w:rFonts w:asciiTheme="minorHAnsi" w:eastAsiaTheme="majorEastAsia" w:hAnsiTheme="minorHAnsi"/>
          <w:bCs w:val="0"/>
          <w:kern w:val="0"/>
          <w:sz w:val="24"/>
          <w:szCs w:val="20"/>
          <w:lang w:val="en-GB" w:eastAsia="en-US"/>
        </w:rPr>
        <w:t xml:space="preserve">: </w:t>
      </w:r>
      <w:r w:rsidR="004A3B02" w:rsidRPr="000559FF">
        <w:rPr>
          <w:rFonts w:asciiTheme="minorHAnsi" w:eastAsiaTheme="majorEastAsia" w:hAnsiTheme="minorHAnsi"/>
          <w:bCs w:val="0"/>
          <w:kern w:val="0"/>
          <w:sz w:val="24"/>
          <w:szCs w:val="20"/>
          <w:lang w:val="en-GB" w:eastAsia="en-US"/>
        </w:rPr>
        <w:t>Itinerary of the mission</w:t>
      </w:r>
      <w:r w:rsidRPr="000559FF">
        <w:rPr>
          <w:rFonts w:asciiTheme="minorHAnsi" w:eastAsiaTheme="majorEastAsia" w:hAnsiTheme="minorHAnsi"/>
          <w:bCs w:val="0"/>
          <w:kern w:val="0"/>
          <w:sz w:val="24"/>
          <w:szCs w:val="20"/>
          <w:lang w:val="en-GB" w:eastAsia="en-US"/>
        </w:rPr>
        <w:t>s and people met</w:t>
      </w:r>
      <w:bookmarkEnd w:id="10"/>
    </w:p>
    <w:p w14:paraId="502FF371" w14:textId="00EA2212" w:rsidR="004A3B02" w:rsidRPr="00E418DF" w:rsidRDefault="002C1FE7" w:rsidP="00A7709A">
      <w:pPr>
        <w:spacing w:after="0"/>
        <w:rPr>
          <w:rFonts w:cs="Times New Roman"/>
          <w:b/>
          <w:szCs w:val="20"/>
          <w:lang w:val="en-GB"/>
        </w:rPr>
      </w:pPr>
      <w:r w:rsidRPr="00E418DF">
        <w:rPr>
          <w:rFonts w:cs="Times New Roman"/>
          <w:b/>
          <w:szCs w:val="20"/>
          <w:lang w:val="en-GB"/>
        </w:rPr>
        <w:t>Uganda programme</w:t>
      </w:r>
    </w:p>
    <w:p w14:paraId="09D46E78" w14:textId="77777777" w:rsidR="004A3B02" w:rsidRPr="00FD515D" w:rsidRDefault="004A3B02" w:rsidP="00A7709A">
      <w:pPr>
        <w:spacing w:after="0"/>
        <w:rPr>
          <w:rFonts w:cs="Times New Roman"/>
          <w:b/>
          <w:sz w:val="20"/>
          <w:szCs w:val="20"/>
          <w:lang w:val="en-GB"/>
        </w:rPr>
      </w:pPr>
    </w:p>
    <w:tbl>
      <w:tblPr>
        <w:tblStyle w:val="TableGrid"/>
        <w:tblW w:w="0" w:type="auto"/>
        <w:tblLook w:val="04A0" w:firstRow="1" w:lastRow="0" w:firstColumn="1" w:lastColumn="0" w:noHBand="0" w:noVBand="1"/>
      </w:tblPr>
      <w:tblGrid>
        <w:gridCol w:w="1271"/>
        <w:gridCol w:w="1985"/>
        <w:gridCol w:w="3260"/>
        <w:gridCol w:w="2546"/>
      </w:tblGrid>
      <w:tr w:rsidR="00E00A3C" w:rsidRPr="002C1FE7" w14:paraId="4BFAD6E5" w14:textId="77777777" w:rsidTr="002C1FE7">
        <w:tc>
          <w:tcPr>
            <w:tcW w:w="1271" w:type="dxa"/>
          </w:tcPr>
          <w:p w14:paraId="359EAA04" w14:textId="77777777" w:rsidR="00E00A3C" w:rsidRPr="002C1FE7" w:rsidRDefault="00E00A3C" w:rsidP="00A7709A">
            <w:pPr>
              <w:rPr>
                <w:rFonts w:cs="Times New Roman"/>
                <w:b/>
                <w:lang w:val="en-GB"/>
              </w:rPr>
            </w:pPr>
            <w:r w:rsidRPr="002C1FE7">
              <w:rPr>
                <w:rFonts w:cs="Times New Roman"/>
                <w:b/>
                <w:lang w:val="en-GB"/>
              </w:rPr>
              <w:t>Date</w:t>
            </w:r>
          </w:p>
        </w:tc>
        <w:tc>
          <w:tcPr>
            <w:tcW w:w="1985" w:type="dxa"/>
          </w:tcPr>
          <w:p w14:paraId="22ED2CAD" w14:textId="77777777" w:rsidR="00E00A3C" w:rsidRPr="002C1FE7" w:rsidRDefault="00E00A3C" w:rsidP="00A7709A">
            <w:pPr>
              <w:rPr>
                <w:rFonts w:cs="Times New Roman"/>
                <w:b/>
                <w:lang w:val="en-GB"/>
              </w:rPr>
            </w:pPr>
            <w:r w:rsidRPr="002C1FE7">
              <w:rPr>
                <w:rFonts w:cs="Times New Roman"/>
                <w:b/>
                <w:lang w:val="en-GB"/>
              </w:rPr>
              <w:t>Place</w:t>
            </w:r>
          </w:p>
        </w:tc>
        <w:tc>
          <w:tcPr>
            <w:tcW w:w="3260" w:type="dxa"/>
          </w:tcPr>
          <w:p w14:paraId="7FD7BEC9" w14:textId="77777777" w:rsidR="00E00A3C" w:rsidRPr="002C1FE7" w:rsidRDefault="00E00A3C" w:rsidP="00A7709A">
            <w:pPr>
              <w:rPr>
                <w:rFonts w:cs="Times New Roman"/>
                <w:b/>
                <w:lang w:val="en-GB"/>
              </w:rPr>
            </w:pPr>
            <w:r w:rsidRPr="002C1FE7">
              <w:rPr>
                <w:rFonts w:cs="Times New Roman"/>
                <w:b/>
                <w:lang w:val="en-GB"/>
              </w:rPr>
              <w:t>Activity</w:t>
            </w:r>
          </w:p>
        </w:tc>
        <w:tc>
          <w:tcPr>
            <w:tcW w:w="2546" w:type="dxa"/>
          </w:tcPr>
          <w:p w14:paraId="12BF3256" w14:textId="77777777" w:rsidR="00E00A3C" w:rsidRPr="002C1FE7" w:rsidRDefault="00E00A3C" w:rsidP="00A7709A">
            <w:pPr>
              <w:rPr>
                <w:rFonts w:cs="Times New Roman"/>
                <w:b/>
                <w:lang w:val="en-GB"/>
              </w:rPr>
            </w:pPr>
            <w:r w:rsidRPr="002C1FE7">
              <w:rPr>
                <w:rFonts w:cs="Times New Roman"/>
                <w:b/>
                <w:lang w:val="en-GB"/>
              </w:rPr>
              <w:t>People met</w:t>
            </w:r>
          </w:p>
        </w:tc>
      </w:tr>
      <w:tr w:rsidR="005C7724" w:rsidRPr="002C1FE7" w14:paraId="18D8D897" w14:textId="77777777" w:rsidTr="002C1FE7">
        <w:tc>
          <w:tcPr>
            <w:tcW w:w="1271" w:type="dxa"/>
            <w:vMerge w:val="restart"/>
            <w:vAlign w:val="center"/>
          </w:tcPr>
          <w:p w14:paraId="6880FD51" w14:textId="77777777" w:rsidR="005C7724" w:rsidRPr="002C1FE7" w:rsidRDefault="005C7724" w:rsidP="00A7709A">
            <w:pPr>
              <w:rPr>
                <w:rFonts w:cs="Times New Roman"/>
                <w:lang w:val="en-GB"/>
              </w:rPr>
            </w:pPr>
            <w:r w:rsidRPr="002C1FE7">
              <w:rPr>
                <w:rFonts w:cs="Times New Roman"/>
                <w:lang w:val="en-GB"/>
              </w:rPr>
              <w:t>18/09/17</w:t>
            </w:r>
          </w:p>
        </w:tc>
        <w:tc>
          <w:tcPr>
            <w:tcW w:w="1985" w:type="dxa"/>
            <w:vMerge w:val="restart"/>
            <w:vAlign w:val="center"/>
          </w:tcPr>
          <w:p w14:paraId="378302F7" w14:textId="77777777" w:rsidR="005C7724" w:rsidRPr="002C1FE7" w:rsidRDefault="005C7724" w:rsidP="00A7709A">
            <w:pPr>
              <w:rPr>
                <w:rFonts w:cs="Times New Roman"/>
                <w:lang w:val="en-GB"/>
              </w:rPr>
            </w:pPr>
            <w:r w:rsidRPr="002C1FE7">
              <w:rPr>
                <w:rFonts w:cs="Times New Roman"/>
                <w:lang w:val="en-GB"/>
              </w:rPr>
              <w:t>Moyo</w:t>
            </w:r>
          </w:p>
        </w:tc>
        <w:tc>
          <w:tcPr>
            <w:tcW w:w="3260" w:type="dxa"/>
          </w:tcPr>
          <w:p w14:paraId="38157ED8" w14:textId="77777777" w:rsidR="005C7724" w:rsidRPr="002C1FE7" w:rsidRDefault="005C7724" w:rsidP="00A7709A">
            <w:pPr>
              <w:rPr>
                <w:rFonts w:cs="Times New Roman"/>
                <w:lang w:val="en-GB"/>
              </w:rPr>
            </w:pPr>
            <w:r w:rsidRPr="002C1FE7">
              <w:rPr>
                <w:rFonts w:cs="Times New Roman"/>
                <w:lang w:val="en-GB"/>
              </w:rPr>
              <w:t>Travel to Moyo</w:t>
            </w:r>
          </w:p>
        </w:tc>
        <w:tc>
          <w:tcPr>
            <w:tcW w:w="2546" w:type="dxa"/>
          </w:tcPr>
          <w:p w14:paraId="2BAFF864" w14:textId="77777777" w:rsidR="005C7724" w:rsidRPr="002C1FE7" w:rsidRDefault="005C7724" w:rsidP="00A7709A">
            <w:pPr>
              <w:rPr>
                <w:rFonts w:cs="Times New Roman"/>
                <w:lang w:val="en-GB"/>
              </w:rPr>
            </w:pPr>
          </w:p>
        </w:tc>
      </w:tr>
      <w:tr w:rsidR="005C7724" w:rsidRPr="009C52C7" w14:paraId="0646C1C3" w14:textId="77777777" w:rsidTr="002C1FE7">
        <w:tc>
          <w:tcPr>
            <w:tcW w:w="1271" w:type="dxa"/>
            <w:vMerge/>
          </w:tcPr>
          <w:p w14:paraId="51F9DE8A" w14:textId="77777777" w:rsidR="005C7724" w:rsidRPr="002C1FE7" w:rsidRDefault="005C7724" w:rsidP="00A7709A">
            <w:pPr>
              <w:rPr>
                <w:rFonts w:cs="Times New Roman"/>
                <w:lang w:val="en-GB"/>
              </w:rPr>
            </w:pPr>
          </w:p>
        </w:tc>
        <w:tc>
          <w:tcPr>
            <w:tcW w:w="1985" w:type="dxa"/>
            <w:vMerge/>
          </w:tcPr>
          <w:p w14:paraId="79DB2B1F" w14:textId="77777777" w:rsidR="005C7724" w:rsidRPr="002C1FE7" w:rsidRDefault="005C7724" w:rsidP="00A7709A">
            <w:pPr>
              <w:rPr>
                <w:rFonts w:cs="Times New Roman"/>
                <w:lang w:val="en-GB"/>
              </w:rPr>
            </w:pPr>
          </w:p>
        </w:tc>
        <w:tc>
          <w:tcPr>
            <w:tcW w:w="3260" w:type="dxa"/>
          </w:tcPr>
          <w:p w14:paraId="6812400B" w14:textId="77777777" w:rsidR="005C7724" w:rsidRPr="002C1FE7" w:rsidRDefault="005C7724" w:rsidP="00A7709A">
            <w:pPr>
              <w:rPr>
                <w:rFonts w:cs="Times New Roman"/>
                <w:lang w:val="en-GB"/>
              </w:rPr>
            </w:pPr>
            <w:r w:rsidRPr="002C1FE7">
              <w:rPr>
                <w:rFonts w:cs="Times New Roman"/>
                <w:lang w:val="en-GB"/>
              </w:rPr>
              <w:t>Meeting with UNHCR</w:t>
            </w:r>
          </w:p>
        </w:tc>
        <w:tc>
          <w:tcPr>
            <w:tcW w:w="2546" w:type="dxa"/>
          </w:tcPr>
          <w:p w14:paraId="1F2FC289" w14:textId="77777777" w:rsidR="005C7724" w:rsidRPr="002C1FE7" w:rsidRDefault="005C7724" w:rsidP="00A7709A">
            <w:pPr>
              <w:rPr>
                <w:rFonts w:cs="Times New Roman"/>
                <w:lang w:val="en-GB"/>
              </w:rPr>
            </w:pPr>
            <w:r w:rsidRPr="002C1FE7">
              <w:rPr>
                <w:rFonts w:cs="Times New Roman"/>
                <w:lang w:val="en-GB"/>
              </w:rPr>
              <w:t xml:space="preserve">Head of sub-office and heads of sectoral units </w:t>
            </w:r>
          </w:p>
        </w:tc>
      </w:tr>
      <w:tr w:rsidR="005C7724" w:rsidRPr="009C52C7" w14:paraId="0473A9B5" w14:textId="77777777" w:rsidTr="002C1FE7">
        <w:tc>
          <w:tcPr>
            <w:tcW w:w="1271" w:type="dxa"/>
            <w:vMerge/>
          </w:tcPr>
          <w:p w14:paraId="63840DF6" w14:textId="77777777" w:rsidR="005C7724" w:rsidRPr="002C1FE7" w:rsidRDefault="005C7724" w:rsidP="00A7709A">
            <w:pPr>
              <w:rPr>
                <w:rFonts w:cs="Times New Roman"/>
                <w:lang w:val="en-GB"/>
              </w:rPr>
            </w:pPr>
          </w:p>
        </w:tc>
        <w:tc>
          <w:tcPr>
            <w:tcW w:w="1985" w:type="dxa"/>
            <w:vMerge w:val="restart"/>
            <w:vAlign w:val="center"/>
          </w:tcPr>
          <w:p w14:paraId="5C187214" w14:textId="77777777" w:rsidR="005C7724" w:rsidRPr="002C1FE7" w:rsidRDefault="005C7724" w:rsidP="00A7709A">
            <w:pPr>
              <w:rPr>
                <w:rFonts w:cs="Times New Roman"/>
                <w:lang w:val="en-GB"/>
              </w:rPr>
            </w:pPr>
            <w:r w:rsidRPr="002C1FE7">
              <w:rPr>
                <w:rFonts w:cs="Times New Roman"/>
                <w:lang w:val="en-GB"/>
              </w:rPr>
              <w:t>Basecamp for Palorinya settlement</w:t>
            </w:r>
          </w:p>
        </w:tc>
        <w:tc>
          <w:tcPr>
            <w:tcW w:w="3260" w:type="dxa"/>
          </w:tcPr>
          <w:p w14:paraId="30DD4FB2" w14:textId="77777777" w:rsidR="005C7724" w:rsidRPr="002C1FE7" w:rsidRDefault="005C7724" w:rsidP="00A7709A">
            <w:pPr>
              <w:rPr>
                <w:rFonts w:cs="Times New Roman"/>
                <w:lang w:val="en-GB"/>
              </w:rPr>
            </w:pPr>
            <w:r w:rsidRPr="002C1FE7">
              <w:rPr>
                <w:rFonts w:cs="Times New Roman"/>
                <w:lang w:val="en-GB"/>
              </w:rPr>
              <w:t>Meeting with LWF management group (approx. 15)</w:t>
            </w:r>
          </w:p>
        </w:tc>
        <w:tc>
          <w:tcPr>
            <w:tcW w:w="2546" w:type="dxa"/>
          </w:tcPr>
          <w:p w14:paraId="35471EC1" w14:textId="7A0D2BB4" w:rsidR="005C7724" w:rsidRPr="002C1FE7" w:rsidRDefault="00AC5431" w:rsidP="00A7709A">
            <w:pPr>
              <w:rPr>
                <w:rFonts w:cs="Times New Roman"/>
                <w:lang w:val="en-GB"/>
              </w:rPr>
            </w:pPr>
            <w:r w:rsidRPr="002C1FE7">
              <w:rPr>
                <w:rFonts w:cs="Times New Roman"/>
                <w:lang w:val="en-GB"/>
              </w:rPr>
              <w:t>Programme</w:t>
            </w:r>
            <w:r w:rsidR="005C7724" w:rsidRPr="002C1FE7">
              <w:rPr>
                <w:rFonts w:cs="Times New Roman"/>
                <w:lang w:val="en-GB"/>
              </w:rPr>
              <w:t xml:space="preserve"> officers, head units and assistants</w:t>
            </w:r>
          </w:p>
        </w:tc>
      </w:tr>
      <w:tr w:rsidR="005C7724" w:rsidRPr="002C1FE7" w14:paraId="46957EB4" w14:textId="77777777" w:rsidTr="002C1FE7">
        <w:tc>
          <w:tcPr>
            <w:tcW w:w="1271" w:type="dxa"/>
            <w:vMerge/>
          </w:tcPr>
          <w:p w14:paraId="64424531" w14:textId="77777777" w:rsidR="005C7724" w:rsidRPr="002C1FE7" w:rsidRDefault="005C7724" w:rsidP="00A7709A">
            <w:pPr>
              <w:rPr>
                <w:rFonts w:cs="Times New Roman"/>
                <w:lang w:val="en-GB"/>
              </w:rPr>
            </w:pPr>
          </w:p>
        </w:tc>
        <w:tc>
          <w:tcPr>
            <w:tcW w:w="1985" w:type="dxa"/>
            <w:vMerge/>
          </w:tcPr>
          <w:p w14:paraId="5D654ABB" w14:textId="77777777" w:rsidR="005C7724" w:rsidRPr="002C1FE7" w:rsidRDefault="005C7724" w:rsidP="00A7709A">
            <w:pPr>
              <w:rPr>
                <w:rFonts w:cs="Times New Roman"/>
                <w:lang w:val="en-GB"/>
              </w:rPr>
            </w:pPr>
          </w:p>
        </w:tc>
        <w:tc>
          <w:tcPr>
            <w:tcW w:w="3260" w:type="dxa"/>
          </w:tcPr>
          <w:p w14:paraId="11F0D149" w14:textId="77777777" w:rsidR="005C7724" w:rsidRPr="002C1FE7" w:rsidRDefault="005C7724" w:rsidP="00A7709A">
            <w:pPr>
              <w:rPr>
                <w:rFonts w:cs="Times New Roman"/>
                <w:lang w:val="en-GB"/>
              </w:rPr>
            </w:pPr>
            <w:r w:rsidRPr="002C1FE7">
              <w:rPr>
                <w:rFonts w:cs="Times New Roman"/>
                <w:lang w:val="en-GB"/>
              </w:rPr>
              <w:t xml:space="preserve">Focus group discussions with LWF field workers – Cash based intervention (approx. 10); Protection (15) </w:t>
            </w:r>
          </w:p>
        </w:tc>
        <w:tc>
          <w:tcPr>
            <w:tcW w:w="2546" w:type="dxa"/>
          </w:tcPr>
          <w:p w14:paraId="5E999FD4" w14:textId="77777777" w:rsidR="005C7724" w:rsidRPr="002C1FE7" w:rsidRDefault="005C7724" w:rsidP="00A7709A">
            <w:pPr>
              <w:rPr>
                <w:rFonts w:cs="Times New Roman"/>
                <w:lang w:val="en-GB"/>
              </w:rPr>
            </w:pPr>
            <w:r w:rsidRPr="002C1FE7">
              <w:rPr>
                <w:rFonts w:cs="Times New Roman"/>
                <w:lang w:val="en-GB"/>
              </w:rPr>
              <w:t>Field workers</w:t>
            </w:r>
          </w:p>
        </w:tc>
      </w:tr>
      <w:tr w:rsidR="005C7724" w:rsidRPr="009C52C7" w14:paraId="6B802280" w14:textId="77777777" w:rsidTr="002C1FE7">
        <w:tc>
          <w:tcPr>
            <w:tcW w:w="1271" w:type="dxa"/>
            <w:vMerge w:val="restart"/>
            <w:vAlign w:val="center"/>
          </w:tcPr>
          <w:p w14:paraId="702A8E70" w14:textId="77777777" w:rsidR="005C7724" w:rsidRPr="002C1FE7" w:rsidRDefault="005C7724" w:rsidP="00A7709A">
            <w:pPr>
              <w:rPr>
                <w:rFonts w:cs="Times New Roman"/>
                <w:lang w:val="en-GB"/>
              </w:rPr>
            </w:pPr>
            <w:r w:rsidRPr="002C1FE7">
              <w:rPr>
                <w:rFonts w:cs="Times New Roman"/>
                <w:lang w:val="en-GB"/>
              </w:rPr>
              <w:t>19/09/17</w:t>
            </w:r>
          </w:p>
        </w:tc>
        <w:tc>
          <w:tcPr>
            <w:tcW w:w="1985" w:type="dxa"/>
            <w:vMerge w:val="restart"/>
            <w:vAlign w:val="center"/>
          </w:tcPr>
          <w:p w14:paraId="2BA750BB" w14:textId="77777777" w:rsidR="005C7724" w:rsidRPr="002C1FE7" w:rsidRDefault="005C7724" w:rsidP="00A7709A">
            <w:pPr>
              <w:rPr>
                <w:rFonts w:cs="Times New Roman"/>
                <w:lang w:val="en-GB"/>
              </w:rPr>
            </w:pPr>
            <w:r w:rsidRPr="002C1FE7">
              <w:rPr>
                <w:rFonts w:cs="Times New Roman"/>
                <w:lang w:val="en-GB"/>
              </w:rPr>
              <w:t>Bidibidi settlement</w:t>
            </w:r>
          </w:p>
        </w:tc>
        <w:tc>
          <w:tcPr>
            <w:tcW w:w="3260" w:type="dxa"/>
          </w:tcPr>
          <w:p w14:paraId="4CD0DB18" w14:textId="77777777" w:rsidR="005C7724" w:rsidRPr="002C1FE7" w:rsidRDefault="005C7724" w:rsidP="00A7709A">
            <w:pPr>
              <w:rPr>
                <w:rFonts w:cs="Times New Roman"/>
                <w:lang w:val="en-GB"/>
              </w:rPr>
            </w:pPr>
            <w:r w:rsidRPr="002C1FE7">
              <w:rPr>
                <w:rFonts w:cs="Times New Roman"/>
                <w:lang w:val="en-GB"/>
              </w:rPr>
              <w:t>Interviews</w:t>
            </w:r>
          </w:p>
        </w:tc>
        <w:tc>
          <w:tcPr>
            <w:tcW w:w="2546" w:type="dxa"/>
          </w:tcPr>
          <w:p w14:paraId="0371F44D" w14:textId="77777777" w:rsidR="005C7724" w:rsidRPr="002C1FE7" w:rsidRDefault="005C7724" w:rsidP="00A7709A">
            <w:pPr>
              <w:rPr>
                <w:rFonts w:cs="Times New Roman"/>
                <w:lang w:val="en-GB"/>
              </w:rPr>
            </w:pPr>
            <w:r w:rsidRPr="002C1FE7">
              <w:rPr>
                <w:rFonts w:cs="Times New Roman"/>
                <w:lang w:val="en-GB"/>
              </w:rPr>
              <w:t>OPM (Settlement commandant)</w:t>
            </w:r>
          </w:p>
          <w:p w14:paraId="45B5D383" w14:textId="77777777" w:rsidR="005C7724" w:rsidRPr="002C1FE7" w:rsidRDefault="005C7724" w:rsidP="00A7709A">
            <w:pPr>
              <w:rPr>
                <w:rFonts w:cs="Times New Roman"/>
                <w:lang w:val="en-GB"/>
              </w:rPr>
            </w:pPr>
            <w:r w:rsidRPr="002C1FE7">
              <w:rPr>
                <w:rFonts w:cs="Times New Roman"/>
                <w:lang w:val="en-GB"/>
              </w:rPr>
              <w:t>UNHCR (Head of office)</w:t>
            </w:r>
          </w:p>
        </w:tc>
      </w:tr>
      <w:tr w:rsidR="005C7724" w:rsidRPr="002C1FE7" w14:paraId="1CBB2FF4" w14:textId="77777777" w:rsidTr="002C1FE7">
        <w:tc>
          <w:tcPr>
            <w:tcW w:w="1271" w:type="dxa"/>
            <w:vMerge/>
          </w:tcPr>
          <w:p w14:paraId="2DB88781" w14:textId="77777777" w:rsidR="005C7724" w:rsidRPr="002C1FE7" w:rsidRDefault="005C7724" w:rsidP="00A7709A">
            <w:pPr>
              <w:rPr>
                <w:rFonts w:cs="Times New Roman"/>
                <w:lang w:val="en-GB"/>
              </w:rPr>
            </w:pPr>
          </w:p>
        </w:tc>
        <w:tc>
          <w:tcPr>
            <w:tcW w:w="1985" w:type="dxa"/>
            <w:vMerge/>
          </w:tcPr>
          <w:p w14:paraId="1B333536" w14:textId="77777777" w:rsidR="005C7724" w:rsidRPr="002C1FE7" w:rsidRDefault="005C7724" w:rsidP="00A7709A">
            <w:pPr>
              <w:rPr>
                <w:rFonts w:cs="Times New Roman"/>
                <w:lang w:val="en-GB"/>
              </w:rPr>
            </w:pPr>
          </w:p>
        </w:tc>
        <w:tc>
          <w:tcPr>
            <w:tcW w:w="3260" w:type="dxa"/>
          </w:tcPr>
          <w:p w14:paraId="168D07D3" w14:textId="77777777" w:rsidR="005C7724" w:rsidRPr="002C1FE7" w:rsidRDefault="005C7724" w:rsidP="00A7709A">
            <w:pPr>
              <w:rPr>
                <w:rFonts w:cs="Times New Roman"/>
                <w:lang w:val="en-GB"/>
              </w:rPr>
            </w:pPr>
            <w:r w:rsidRPr="002C1FE7">
              <w:rPr>
                <w:rFonts w:cs="Times New Roman"/>
                <w:lang w:val="en-GB"/>
              </w:rPr>
              <w:t>Focus group discussions with community members (approx. 40 men and 20 women)</w:t>
            </w:r>
          </w:p>
        </w:tc>
        <w:tc>
          <w:tcPr>
            <w:tcW w:w="2546" w:type="dxa"/>
          </w:tcPr>
          <w:p w14:paraId="3B71EDC3" w14:textId="77777777" w:rsidR="005C7724" w:rsidRPr="002C1FE7" w:rsidRDefault="009806A0" w:rsidP="00A7709A">
            <w:pPr>
              <w:rPr>
                <w:rFonts w:cs="Times New Roman"/>
                <w:lang w:val="en-GB"/>
              </w:rPr>
            </w:pPr>
            <w:r w:rsidRPr="002C1FE7">
              <w:rPr>
                <w:rFonts w:cs="Times New Roman"/>
                <w:lang w:val="en-GB"/>
              </w:rPr>
              <w:t xml:space="preserve">Refugees </w:t>
            </w:r>
          </w:p>
        </w:tc>
      </w:tr>
      <w:tr w:rsidR="005C7724" w:rsidRPr="009C52C7" w14:paraId="67C012C1" w14:textId="77777777" w:rsidTr="002C1FE7">
        <w:tc>
          <w:tcPr>
            <w:tcW w:w="1271" w:type="dxa"/>
            <w:vMerge/>
          </w:tcPr>
          <w:p w14:paraId="542B5C83" w14:textId="77777777" w:rsidR="005C7724" w:rsidRPr="002C1FE7" w:rsidRDefault="005C7724" w:rsidP="00A7709A">
            <w:pPr>
              <w:rPr>
                <w:rFonts w:cs="Times New Roman"/>
                <w:lang w:val="en-GB"/>
              </w:rPr>
            </w:pPr>
          </w:p>
        </w:tc>
        <w:tc>
          <w:tcPr>
            <w:tcW w:w="1985" w:type="dxa"/>
            <w:vMerge/>
          </w:tcPr>
          <w:p w14:paraId="1E88E243" w14:textId="77777777" w:rsidR="005C7724" w:rsidRPr="002C1FE7" w:rsidRDefault="005C7724" w:rsidP="00A7709A">
            <w:pPr>
              <w:rPr>
                <w:rFonts w:cs="Times New Roman"/>
                <w:lang w:val="en-GB"/>
              </w:rPr>
            </w:pPr>
          </w:p>
        </w:tc>
        <w:tc>
          <w:tcPr>
            <w:tcW w:w="3260" w:type="dxa"/>
          </w:tcPr>
          <w:p w14:paraId="045CE18F" w14:textId="77777777" w:rsidR="005C7724" w:rsidRPr="002C1FE7" w:rsidRDefault="005C7724" w:rsidP="00A7709A">
            <w:pPr>
              <w:rPr>
                <w:rFonts w:cs="Times New Roman"/>
                <w:lang w:val="en-GB"/>
              </w:rPr>
            </w:pPr>
            <w:r w:rsidRPr="002C1FE7">
              <w:rPr>
                <w:rFonts w:cs="Times New Roman"/>
                <w:lang w:val="en-GB"/>
              </w:rPr>
              <w:t>Meeting with senior manager of various organisations</w:t>
            </w:r>
          </w:p>
        </w:tc>
        <w:tc>
          <w:tcPr>
            <w:tcW w:w="2546" w:type="dxa"/>
          </w:tcPr>
          <w:p w14:paraId="7A45EDC8" w14:textId="77777777" w:rsidR="005C7724" w:rsidRPr="002C1FE7" w:rsidRDefault="005C7724" w:rsidP="00A7709A">
            <w:pPr>
              <w:rPr>
                <w:rFonts w:cs="Times New Roman"/>
                <w:lang w:val="en-GB"/>
              </w:rPr>
            </w:pPr>
            <w:r w:rsidRPr="002C1FE7">
              <w:rPr>
                <w:rFonts w:cs="Times New Roman"/>
                <w:lang w:val="en-GB"/>
              </w:rPr>
              <w:t>Fin Church Aid, WVI, Uganda Red Cross, URDMC, Save the Children, DRC, Oxfam</w:t>
            </w:r>
          </w:p>
        </w:tc>
      </w:tr>
      <w:tr w:rsidR="005C7724" w:rsidRPr="009C52C7" w14:paraId="623E07EC" w14:textId="77777777" w:rsidTr="002C1FE7">
        <w:tc>
          <w:tcPr>
            <w:tcW w:w="1271" w:type="dxa"/>
            <w:vMerge/>
          </w:tcPr>
          <w:p w14:paraId="4E9C751E" w14:textId="77777777" w:rsidR="005C7724" w:rsidRPr="002C1FE7" w:rsidRDefault="005C7724" w:rsidP="00A7709A">
            <w:pPr>
              <w:rPr>
                <w:rFonts w:cs="Times New Roman"/>
                <w:lang w:val="en-GB"/>
              </w:rPr>
            </w:pPr>
          </w:p>
        </w:tc>
        <w:tc>
          <w:tcPr>
            <w:tcW w:w="1985" w:type="dxa"/>
            <w:vMerge/>
          </w:tcPr>
          <w:p w14:paraId="6345D52A" w14:textId="77777777" w:rsidR="005C7724" w:rsidRPr="002C1FE7" w:rsidRDefault="005C7724" w:rsidP="00A7709A">
            <w:pPr>
              <w:rPr>
                <w:rFonts w:cs="Times New Roman"/>
                <w:lang w:val="en-GB"/>
              </w:rPr>
            </w:pPr>
          </w:p>
        </w:tc>
        <w:tc>
          <w:tcPr>
            <w:tcW w:w="3260" w:type="dxa"/>
          </w:tcPr>
          <w:p w14:paraId="090FA139" w14:textId="77777777" w:rsidR="005C7724" w:rsidRPr="002C1FE7" w:rsidRDefault="005C7724" w:rsidP="00A7709A">
            <w:pPr>
              <w:rPr>
                <w:rFonts w:cs="Times New Roman"/>
                <w:lang w:val="en-GB"/>
              </w:rPr>
            </w:pPr>
            <w:r w:rsidRPr="002C1FE7">
              <w:rPr>
                <w:rFonts w:cs="Times New Roman"/>
                <w:lang w:val="en-GB"/>
              </w:rPr>
              <w:t>Focus group discussions with various organisations – Cash based intervention (approx. 7); Protection (10)</w:t>
            </w:r>
          </w:p>
        </w:tc>
        <w:tc>
          <w:tcPr>
            <w:tcW w:w="2546" w:type="dxa"/>
          </w:tcPr>
          <w:p w14:paraId="37A8CFF0" w14:textId="77777777" w:rsidR="005C7724" w:rsidRPr="002C1FE7" w:rsidRDefault="005C7724" w:rsidP="00A7709A">
            <w:pPr>
              <w:rPr>
                <w:rFonts w:cs="Times New Roman"/>
                <w:lang w:val="en-GB"/>
              </w:rPr>
            </w:pPr>
            <w:r w:rsidRPr="002C1FE7">
              <w:rPr>
                <w:rFonts w:cs="Times New Roman"/>
                <w:lang w:val="en-GB"/>
              </w:rPr>
              <w:t xml:space="preserve">Save the Children, WVI, Uganda Red Cross, Plan International, IRC, War Child Canada, ARC, CEFORD, DCA, </w:t>
            </w:r>
          </w:p>
        </w:tc>
      </w:tr>
      <w:tr w:rsidR="00D7601D" w:rsidRPr="002C1FE7" w14:paraId="15FA36D6" w14:textId="77777777" w:rsidTr="002C1FE7">
        <w:tc>
          <w:tcPr>
            <w:tcW w:w="1271" w:type="dxa"/>
            <w:vMerge w:val="restart"/>
            <w:vAlign w:val="center"/>
          </w:tcPr>
          <w:p w14:paraId="00C2CB7E" w14:textId="77777777" w:rsidR="00D7601D" w:rsidRPr="002C1FE7" w:rsidRDefault="00D7601D" w:rsidP="00A7709A">
            <w:pPr>
              <w:rPr>
                <w:rFonts w:cs="Times New Roman"/>
                <w:lang w:val="en-GB"/>
              </w:rPr>
            </w:pPr>
            <w:r w:rsidRPr="002C1FE7">
              <w:rPr>
                <w:rFonts w:cs="Times New Roman"/>
                <w:lang w:val="en-GB"/>
              </w:rPr>
              <w:t>20/09/17</w:t>
            </w:r>
          </w:p>
        </w:tc>
        <w:tc>
          <w:tcPr>
            <w:tcW w:w="1985" w:type="dxa"/>
            <w:vMerge w:val="restart"/>
            <w:vAlign w:val="center"/>
          </w:tcPr>
          <w:p w14:paraId="4C0563AF" w14:textId="77777777" w:rsidR="00D7601D" w:rsidRPr="002C1FE7" w:rsidRDefault="00D7601D" w:rsidP="00A7709A">
            <w:pPr>
              <w:rPr>
                <w:rFonts w:cs="Times New Roman"/>
                <w:lang w:val="en-GB"/>
              </w:rPr>
            </w:pPr>
            <w:r w:rsidRPr="002C1FE7">
              <w:rPr>
                <w:rFonts w:cs="Times New Roman"/>
                <w:lang w:val="en-GB"/>
              </w:rPr>
              <w:t>Arua</w:t>
            </w:r>
          </w:p>
        </w:tc>
        <w:tc>
          <w:tcPr>
            <w:tcW w:w="3260" w:type="dxa"/>
          </w:tcPr>
          <w:p w14:paraId="05CE1249" w14:textId="77777777" w:rsidR="00D7601D" w:rsidRPr="002C1FE7" w:rsidRDefault="00D7601D" w:rsidP="00A7709A">
            <w:pPr>
              <w:rPr>
                <w:rFonts w:cs="Times New Roman"/>
                <w:lang w:val="en-GB"/>
              </w:rPr>
            </w:pPr>
            <w:r w:rsidRPr="002C1FE7">
              <w:rPr>
                <w:rFonts w:cs="Times New Roman"/>
                <w:lang w:val="en-GB"/>
              </w:rPr>
              <w:t>Interview</w:t>
            </w:r>
          </w:p>
        </w:tc>
        <w:tc>
          <w:tcPr>
            <w:tcW w:w="2546" w:type="dxa"/>
          </w:tcPr>
          <w:p w14:paraId="4DA03410" w14:textId="77777777" w:rsidR="00D7601D" w:rsidRPr="002C1FE7" w:rsidRDefault="00D7601D" w:rsidP="00A7709A">
            <w:pPr>
              <w:rPr>
                <w:rFonts w:cs="Times New Roman"/>
                <w:lang w:val="en-GB"/>
              </w:rPr>
            </w:pPr>
            <w:r w:rsidRPr="002C1FE7">
              <w:rPr>
                <w:rFonts w:cs="Times New Roman"/>
                <w:lang w:val="en-GB"/>
              </w:rPr>
              <w:t>OPM</w:t>
            </w:r>
          </w:p>
        </w:tc>
      </w:tr>
      <w:tr w:rsidR="00D7601D" w:rsidRPr="009C52C7" w14:paraId="70E282A8" w14:textId="77777777" w:rsidTr="002C1FE7">
        <w:tc>
          <w:tcPr>
            <w:tcW w:w="1271" w:type="dxa"/>
            <w:vMerge/>
          </w:tcPr>
          <w:p w14:paraId="3B166E3C" w14:textId="77777777" w:rsidR="00D7601D" w:rsidRPr="002C1FE7" w:rsidRDefault="00D7601D" w:rsidP="00A7709A">
            <w:pPr>
              <w:rPr>
                <w:rFonts w:cs="Times New Roman"/>
                <w:lang w:val="en-GB"/>
              </w:rPr>
            </w:pPr>
          </w:p>
        </w:tc>
        <w:tc>
          <w:tcPr>
            <w:tcW w:w="1985" w:type="dxa"/>
            <w:vMerge/>
          </w:tcPr>
          <w:p w14:paraId="668FBA01" w14:textId="77777777" w:rsidR="00D7601D" w:rsidRPr="002C1FE7" w:rsidRDefault="00D7601D" w:rsidP="00A7709A">
            <w:pPr>
              <w:rPr>
                <w:rFonts w:cs="Times New Roman"/>
                <w:lang w:val="en-GB"/>
              </w:rPr>
            </w:pPr>
          </w:p>
        </w:tc>
        <w:tc>
          <w:tcPr>
            <w:tcW w:w="3260" w:type="dxa"/>
          </w:tcPr>
          <w:p w14:paraId="32DF99C5" w14:textId="77777777" w:rsidR="00D7601D" w:rsidRPr="002C1FE7" w:rsidRDefault="00D7601D" w:rsidP="00A7709A">
            <w:pPr>
              <w:rPr>
                <w:rFonts w:cs="Times New Roman"/>
                <w:lang w:val="en-GB"/>
              </w:rPr>
            </w:pPr>
            <w:r w:rsidRPr="002C1FE7">
              <w:rPr>
                <w:rFonts w:cs="Times New Roman"/>
                <w:lang w:val="en-GB"/>
              </w:rPr>
              <w:t>Meeting with senior manager of various organisations</w:t>
            </w:r>
          </w:p>
        </w:tc>
        <w:tc>
          <w:tcPr>
            <w:tcW w:w="2546" w:type="dxa"/>
          </w:tcPr>
          <w:p w14:paraId="471AF980" w14:textId="77777777" w:rsidR="00D7601D" w:rsidRPr="002C1FE7" w:rsidRDefault="00D7601D" w:rsidP="00A7709A">
            <w:pPr>
              <w:rPr>
                <w:rFonts w:cs="Times New Roman"/>
                <w:lang w:val="en-GB"/>
              </w:rPr>
            </w:pPr>
            <w:r w:rsidRPr="002C1FE7">
              <w:rPr>
                <w:rFonts w:cs="Times New Roman"/>
                <w:lang w:val="en-GB"/>
              </w:rPr>
              <w:t>Oxfam, CEFORD, Uganda Red Cross, Save the Children, Care, IAS</w:t>
            </w:r>
          </w:p>
        </w:tc>
      </w:tr>
      <w:tr w:rsidR="00D7601D" w:rsidRPr="002C1FE7" w14:paraId="12E0C11C" w14:textId="77777777" w:rsidTr="002C1FE7">
        <w:tc>
          <w:tcPr>
            <w:tcW w:w="1271" w:type="dxa"/>
            <w:vMerge/>
          </w:tcPr>
          <w:p w14:paraId="3CBB5B19" w14:textId="77777777" w:rsidR="00D7601D" w:rsidRPr="002C1FE7" w:rsidRDefault="00D7601D" w:rsidP="00A7709A">
            <w:pPr>
              <w:rPr>
                <w:rFonts w:cs="Times New Roman"/>
                <w:lang w:val="en-GB"/>
              </w:rPr>
            </w:pPr>
          </w:p>
        </w:tc>
        <w:tc>
          <w:tcPr>
            <w:tcW w:w="1985" w:type="dxa"/>
            <w:vMerge w:val="restart"/>
            <w:vAlign w:val="center"/>
          </w:tcPr>
          <w:p w14:paraId="7AA28F7E" w14:textId="77777777" w:rsidR="00D7601D" w:rsidRPr="002C1FE7" w:rsidRDefault="00D7601D" w:rsidP="00A7709A">
            <w:pPr>
              <w:rPr>
                <w:rFonts w:cs="Times New Roman"/>
                <w:lang w:val="en-GB"/>
              </w:rPr>
            </w:pPr>
            <w:r w:rsidRPr="002C1FE7">
              <w:rPr>
                <w:rFonts w:cs="Times New Roman"/>
                <w:lang w:val="en-GB"/>
              </w:rPr>
              <w:t>Basecamp for Rhino Settlement</w:t>
            </w:r>
          </w:p>
        </w:tc>
        <w:tc>
          <w:tcPr>
            <w:tcW w:w="3260" w:type="dxa"/>
          </w:tcPr>
          <w:p w14:paraId="4967C491" w14:textId="77777777" w:rsidR="00D7601D" w:rsidRPr="002C1FE7" w:rsidRDefault="00D7601D" w:rsidP="00A7709A">
            <w:pPr>
              <w:rPr>
                <w:rFonts w:cs="Times New Roman"/>
                <w:lang w:val="en-GB"/>
              </w:rPr>
            </w:pPr>
            <w:r w:rsidRPr="002C1FE7">
              <w:rPr>
                <w:rFonts w:cs="Times New Roman"/>
                <w:lang w:val="en-GB"/>
              </w:rPr>
              <w:t>Interview</w:t>
            </w:r>
          </w:p>
        </w:tc>
        <w:tc>
          <w:tcPr>
            <w:tcW w:w="2546" w:type="dxa"/>
          </w:tcPr>
          <w:p w14:paraId="2CECC8D1" w14:textId="77777777" w:rsidR="00D7601D" w:rsidRPr="002C1FE7" w:rsidRDefault="00D7601D" w:rsidP="00A7709A">
            <w:pPr>
              <w:rPr>
                <w:rFonts w:cs="Times New Roman"/>
                <w:lang w:val="en-GB"/>
              </w:rPr>
            </w:pPr>
            <w:r w:rsidRPr="002C1FE7">
              <w:rPr>
                <w:rFonts w:cs="Times New Roman"/>
                <w:lang w:val="en-GB"/>
              </w:rPr>
              <w:t>OPM (Settlement commandant)</w:t>
            </w:r>
          </w:p>
        </w:tc>
      </w:tr>
      <w:tr w:rsidR="00D7601D" w:rsidRPr="009C52C7" w14:paraId="3AC4DDC1" w14:textId="77777777" w:rsidTr="002C1FE7">
        <w:tc>
          <w:tcPr>
            <w:tcW w:w="1271" w:type="dxa"/>
            <w:vMerge/>
          </w:tcPr>
          <w:p w14:paraId="535D1814" w14:textId="77777777" w:rsidR="00D7601D" w:rsidRPr="002C1FE7" w:rsidRDefault="00D7601D" w:rsidP="00A7709A">
            <w:pPr>
              <w:rPr>
                <w:rFonts w:cs="Times New Roman"/>
                <w:lang w:val="en-GB"/>
              </w:rPr>
            </w:pPr>
          </w:p>
        </w:tc>
        <w:tc>
          <w:tcPr>
            <w:tcW w:w="1985" w:type="dxa"/>
            <w:vMerge/>
          </w:tcPr>
          <w:p w14:paraId="357186FE" w14:textId="77777777" w:rsidR="00D7601D" w:rsidRPr="002C1FE7" w:rsidRDefault="00D7601D" w:rsidP="00A7709A">
            <w:pPr>
              <w:rPr>
                <w:rFonts w:cs="Times New Roman"/>
                <w:lang w:val="en-GB"/>
              </w:rPr>
            </w:pPr>
          </w:p>
        </w:tc>
        <w:tc>
          <w:tcPr>
            <w:tcW w:w="3260" w:type="dxa"/>
          </w:tcPr>
          <w:p w14:paraId="5F547BF0" w14:textId="77777777" w:rsidR="00D7601D" w:rsidRPr="002C1FE7" w:rsidRDefault="00D7601D" w:rsidP="00A7709A">
            <w:pPr>
              <w:rPr>
                <w:rFonts w:cs="Times New Roman"/>
                <w:lang w:val="en-GB"/>
              </w:rPr>
            </w:pPr>
            <w:r w:rsidRPr="002C1FE7">
              <w:rPr>
                <w:rFonts w:cs="Times New Roman"/>
                <w:lang w:val="en-GB"/>
              </w:rPr>
              <w:t>Focus group discussions with various organisations (12)</w:t>
            </w:r>
          </w:p>
        </w:tc>
        <w:tc>
          <w:tcPr>
            <w:tcW w:w="2546" w:type="dxa"/>
          </w:tcPr>
          <w:p w14:paraId="472392D5" w14:textId="77777777" w:rsidR="00D7601D" w:rsidRPr="002C1FE7" w:rsidRDefault="00D7601D" w:rsidP="00A7709A">
            <w:pPr>
              <w:rPr>
                <w:rFonts w:cs="Times New Roman"/>
                <w:lang w:val="en-GB"/>
              </w:rPr>
            </w:pPr>
            <w:r w:rsidRPr="002C1FE7">
              <w:rPr>
                <w:rFonts w:cs="Times New Roman"/>
                <w:lang w:val="en-GB"/>
              </w:rPr>
              <w:t>Care, Oxfam, CEFOD, Save the Children, DRC, Uganda Red Cross, NRC, IAS</w:t>
            </w:r>
          </w:p>
        </w:tc>
      </w:tr>
      <w:tr w:rsidR="00BC781F" w:rsidRPr="002C1FE7" w14:paraId="3B4B9FB3" w14:textId="77777777" w:rsidTr="002C1FE7">
        <w:tc>
          <w:tcPr>
            <w:tcW w:w="1271" w:type="dxa"/>
            <w:vMerge/>
          </w:tcPr>
          <w:p w14:paraId="2D7C0FEE" w14:textId="77777777" w:rsidR="00BC781F" w:rsidRPr="002C1FE7" w:rsidRDefault="00BC781F" w:rsidP="00A7709A">
            <w:pPr>
              <w:rPr>
                <w:rFonts w:cs="Times New Roman"/>
                <w:lang w:val="en-GB"/>
              </w:rPr>
            </w:pPr>
          </w:p>
        </w:tc>
        <w:tc>
          <w:tcPr>
            <w:tcW w:w="1985" w:type="dxa"/>
          </w:tcPr>
          <w:p w14:paraId="0B7BD6A2" w14:textId="77777777" w:rsidR="00BC781F" w:rsidRPr="002C1FE7" w:rsidRDefault="00BC781F" w:rsidP="00A7709A">
            <w:pPr>
              <w:rPr>
                <w:rFonts w:cs="Times New Roman"/>
                <w:lang w:val="en-GB"/>
              </w:rPr>
            </w:pPr>
          </w:p>
        </w:tc>
        <w:tc>
          <w:tcPr>
            <w:tcW w:w="3260" w:type="dxa"/>
          </w:tcPr>
          <w:p w14:paraId="28E5CF08" w14:textId="0C6DC55A" w:rsidR="008F1849" w:rsidRPr="002C1FE7" w:rsidRDefault="00D7601D" w:rsidP="002C1FE7">
            <w:pPr>
              <w:rPr>
                <w:rFonts w:cs="Times New Roman"/>
                <w:lang w:val="en-GB"/>
              </w:rPr>
            </w:pPr>
            <w:r w:rsidRPr="002C1FE7">
              <w:rPr>
                <w:rFonts w:cs="Times New Roman"/>
                <w:lang w:val="en-GB"/>
              </w:rPr>
              <w:t>Discussion with a group of youth (</w:t>
            </w:r>
            <w:r w:rsidR="00577612" w:rsidRPr="002C1FE7">
              <w:rPr>
                <w:rFonts w:cs="Times New Roman"/>
                <w:lang w:val="en-GB"/>
              </w:rPr>
              <w:t>approx.</w:t>
            </w:r>
            <w:r w:rsidRPr="002C1FE7">
              <w:rPr>
                <w:rFonts w:cs="Times New Roman"/>
                <w:lang w:val="en-GB"/>
              </w:rPr>
              <w:t xml:space="preserve"> 15 boys and 30 girls)</w:t>
            </w:r>
          </w:p>
        </w:tc>
        <w:tc>
          <w:tcPr>
            <w:tcW w:w="2546" w:type="dxa"/>
          </w:tcPr>
          <w:p w14:paraId="13443901" w14:textId="77777777" w:rsidR="00BC781F" w:rsidRPr="002C1FE7" w:rsidRDefault="00D7601D" w:rsidP="00A7709A">
            <w:pPr>
              <w:rPr>
                <w:rFonts w:cs="Times New Roman"/>
                <w:lang w:val="en-GB"/>
              </w:rPr>
            </w:pPr>
            <w:r w:rsidRPr="002C1FE7">
              <w:rPr>
                <w:rFonts w:cs="Times New Roman"/>
                <w:lang w:val="en-GB"/>
              </w:rPr>
              <w:t>Refugees</w:t>
            </w:r>
          </w:p>
        </w:tc>
      </w:tr>
      <w:tr w:rsidR="00120BF4" w:rsidRPr="009C52C7" w14:paraId="0E37E400" w14:textId="77777777" w:rsidTr="002C1FE7">
        <w:tc>
          <w:tcPr>
            <w:tcW w:w="1271" w:type="dxa"/>
            <w:vAlign w:val="center"/>
          </w:tcPr>
          <w:p w14:paraId="5F3A62AD" w14:textId="77777777" w:rsidR="00120BF4" w:rsidRPr="002C1FE7" w:rsidRDefault="005C7724" w:rsidP="005C7724">
            <w:pPr>
              <w:rPr>
                <w:rFonts w:cs="Times New Roman"/>
                <w:lang w:val="en-GB"/>
              </w:rPr>
            </w:pPr>
            <w:r w:rsidRPr="002C1FE7">
              <w:rPr>
                <w:rFonts w:cs="Times New Roman"/>
                <w:lang w:val="en-GB"/>
              </w:rPr>
              <w:t>21/09/17</w:t>
            </w:r>
          </w:p>
        </w:tc>
        <w:tc>
          <w:tcPr>
            <w:tcW w:w="1985" w:type="dxa"/>
          </w:tcPr>
          <w:p w14:paraId="5DE88015" w14:textId="77777777" w:rsidR="00120BF4" w:rsidRPr="002C1FE7" w:rsidRDefault="005C7724" w:rsidP="004A3B02">
            <w:pPr>
              <w:jc w:val="both"/>
              <w:rPr>
                <w:rFonts w:cs="Times New Roman"/>
                <w:lang w:val="en-GB"/>
              </w:rPr>
            </w:pPr>
            <w:r w:rsidRPr="002C1FE7">
              <w:rPr>
                <w:rFonts w:cs="Times New Roman"/>
                <w:lang w:val="en-GB"/>
              </w:rPr>
              <w:t>Kampala</w:t>
            </w:r>
          </w:p>
        </w:tc>
        <w:tc>
          <w:tcPr>
            <w:tcW w:w="3260" w:type="dxa"/>
          </w:tcPr>
          <w:p w14:paraId="3B867B6C" w14:textId="77777777" w:rsidR="00120BF4" w:rsidRPr="002C1FE7" w:rsidRDefault="005C7724" w:rsidP="004A3B02">
            <w:pPr>
              <w:jc w:val="both"/>
              <w:rPr>
                <w:rFonts w:cs="Times New Roman"/>
                <w:lang w:val="en-GB"/>
              </w:rPr>
            </w:pPr>
            <w:r w:rsidRPr="002C1FE7">
              <w:rPr>
                <w:rFonts w:cs="Times New Roman"/>
                <w:lang w:val="en-GB"/>
              </w:rPr>
              <w:t>Meeting with senior manager</w:t>
            </w:r>
          </w:p>
        </w:tc>
        <w:tc>
          <w:tcPr>
            <w:tcW w:w="2546" w:type="dxa"/>
          </w:tcPr>
          <w:p w14:paraId="3139B740" w14:textId="77777777" w:rsidR="00120BF4" w:rsidRPr="002C1FE7" w:rsidRDefault="005C7724" w:rsidP="004A3B02">
            <w:pPr>
              <w:jc w:val="both"/>
              <w:rPr>
                <w:rFonts w:cs="Times New Roman"/>
                <w:lang w:val="en-GB"/>
              </w:rPr>
            </w:pPr>
            <w:r w:rsidRPr="002C1FE7">
              <w:rPr>
                <w:rFonts w:cs="Times New Roman"/>
                <w:lang w:val="en-GB"/>
              </w:rPr>
              <w:t>LWF, Save the Children, Oxfam, Mercy corps, ACTED, War Child Holland, MTI, Handicap International, CRS, AVSI Foundation, Isra AId</w:t>
            </w:r>
          </w:p>
        </w:tc>
      </w:tr>
    </w:tbl>
    <w:p w14:paraId="11328DFF" w14:textId="72A9D041" w:rsidR="00E00A3C" w:rsidRDefault="00E00A3C" w:rsidP="004A3B02">
      <w:pPr>
        <w:spacing w:after="0"/>
        <w:jc w:val="both"/>
        <w:rPr>
          <w:rFonts w:cs="Times New Roman"/>
          <w:b/>
          <w:sz w:val="20"/>
          <w:szCs w:val="20"/>
          <w:lang w:val="en-GB"/>
        </w:rPr>
      </w:pPr>
    </w:p>
    <w:p w14:paraId="6EC74363" w14:textId="77777777" w:rsidR="002C1FE7" w:rsidRDefault="002C1FE7" w:rsidP="00FD515D">
      <w:pPr>
        <w:spacing w:after="0"/>
        <w:rPr>
          <w:rFonts w:cs="Times New Roman"/>
          <w:b/>
          <w:szCs w:val="20"/>
          <w:lang w:val="en-GB"/>
        </w:rPr>
      </w:pPr>
    </w:p>
    <w:p w14:paraId="2AFE0062" w14:textId="77777777" w:rsidR="002C1FE7" w:rsidRDefault="002C1FE7" w:rsidP="00FD515D">
      <w:pPr>
        <w:spacing w:after="0"/>
        <w:rPr>
          <w:rFonts w:cs="Times New Roman"/>
          <w:b/>
          <w:szCs w:val="20"/>
          <w:lang w:val="en-GB"/>
        </w:rPr>
      </w:pPr>
    </w:p>
    <w:p w14:paraId="737EE5EF" w14:textId="77777777" w:rsidR="002C1FE7" w:rsidRDefault="002C1FE7" w:rsidP="00FD515D">
      <w:pPr>
        <w:spacing w:after="0"/>
        <w:rPr>
          <w:rFonts w:cs="Times New Roman"/>
          <w:b/>
          <w:szCs w:val="20"/>
          <w:lang w:val="en-GB"/>
        </w:rPr>
      </w:pPr>
    </w:p>
    <w:p w14:paraId="672E43EB" w14:textId="3D40A175" w:rsidR="00FD515D" w:rsidRDefault="00FD515D" w:rsidP="00FD515D">
      <w:pPr>
        <w:spacing w:after="0"/>
        <w:rPr>
          <w:rFonts w:cs="Times New Roman"/>
          <w:b/>
          <w:szCs w:val="20"/>
          <w:lang w:val="en-GB"/>
        </w:rPr>
      </w:pPr>
      <w:r>
        <w:rPr>
          <w:rFonts w:cs="Times New Roman"/>
          <w:b/>
          <w:szCs w:val="20"/>
          <w:lang w:val="en-GB"/>
        </w:rPr>
        <w:t>Kurdistan Region of Ira</w:t>
      </w:r>
      <w:r w:rsidR="002C1FE7">
        <w:rPr>
          <w:rFonts w:cs="Times New Roman"/>
          <w:b/>
          <w:szCs w:val="20"/>
          <w:lang w:val="en-GB"/>
        </w:rPr>
        <w:t>q programme</w:t>
      </w:r>
    </w:p>
    <w:p w14:paraId="1E2C94D6" w14:textId="212D247F" w:rsidR="00FD515D" w:rsidRPr="000C3FD1" w:rsidRDefault="00FD515D" w:rsidP="00FD515D">
      <w:pPr>
        <w:spacing w:after="0"/>
        <w:rPr>
          <w:rFonts w:cs="Times New Roman"/>
          <w:b/>
          <w:sz w:val="20"/>
          <w:szCs w:val="20"/>
          <w:lang w:val="en-GB"/>
        </w:rPr>
      </w:pPr>
    </w:p>
    <w:tbl>
      <w:tblPr>
        <w:tblStyle w:val="TableGrid"/>
        <w:tblW w:w="9067" w:type="dxa"/>
        <w:tblLook w:val="04A0" w:firstRow="1" w:lastRow="0" w:firstColumn="1" w:lastColumn="0" w:noHBand="0" w:noVBand="1"/>
      </w:tblPr>
      <w:tblGrid>
        <w:gridCol w:w="2265"/>
        <w:gridCol w:w="2265"/>
        <w:gridCol w:w="4537"/>
      </w:tblGrid>
      <w:tr w:rsidR="00195B26" w:rsidRPr="002C1FE7" w14:paraId="2FE51272" w14:textId="77777777" w:rsidTr="00195B26">
        <w:tc>
          <w:tcPr>
            <w:tcW w:w="2265" w:type="dxa"/>
          </w:tcPr>
          <w:p w14:paraId="4524C17D" w14:textId="3ED22934" w:rsidR="00195B26" w:rsidRPr="002C1FE7" w:rsidRDefault="00195B26" w:rsidP="00830359">
            <w:pPr>
              <w:rPr>
                <w:rFonts w:cs="Times New Roman"/>
                <w:b/>
                <w:szCs w:val="20"/>
                <w:lang w:val="en-GB"/>
              </w:rPr>
            </w:pPr>
            <w:r w:rsidRPr="002C1FE7">
              <w:rPr>
                <w:rFonts w:cs="Times New Roman"/>
                <w:b/>
                <w:szCs w:val="20"/>
                <w:lang w:val="en-GB"/>
              </w:rPr>
              <w:t>Date</w:t>
            </w:r>
          </w:p>
        </w:tc>
        <w:tc>
          <w:tcPr>
            <w:tcW w:w="2265" w:type="dxa"/>
          </w:tcPr>
          <w:p w14:paraId="2E1FC25C" w14:textId="64003209" w:rsidR="00195B26" w:rsidRPr="002C1FE7" w:rsidRDefault="00195B26" w:rsidP="00830359">
            <w:pPr>
              <w:rPr>
                <w:rFonts w:cs="Times New Roman"/>
                <w:b/>
                <w:szCs w:val="20"/>
                <w:lang w:val="en-GB"/>
              </w:rPr>
            </w:pPr>
            <w:r w:rsidRPr="002C1FE7">
              <w:rPr>
                <w:rFonts w:cs="Times New Roman"/>
                <w:b/>
                <w:szCs w:val="20"/>
                <w:lang w:val="en-GB"/>
              </w:rPr>
              <w:t>Place</w:t>
            </w:r>
          </w:p>
        </w:tc>
        <w:tc>
          <w:tcPr>
            <w:tcW w:w="4537" w:type="dxa"/>
          </w:tcPr>
          <w:p w14:paraId="1370171F" w14:textId="52160391" w:rsidR="00195B26" w:rsidRPr="002C1FE7" w:rsidRDefault="00195B26" w:rsidP="00830359">
            <w:pPr>
              <w:rPr>
                <w:rFonts w:cs="Times New Roman"/>
                <w:b/>
                <w:szCs w:val="20"/>
                <w:lang w:val="en-GB"/>
              </w:rPr>
            </w:pPr>
            <w:r w:rsidRPr="002C1FE7">
              <w:rPr>
                <w:rFonts w:cs="Times New Roman"/>
                <w:b/>
                <w:szCs w:val="20"/>
                <w:lang w:val="en-GB"/>
              </w:rPr>
              <w:t xml:space="preserve">Interviews / FGD </w:t>
            </w:r>
          </w:p>
        </w:tc>
      </w:tr>
      <w:tr w:rsidR="00195B26" w:rsidRPr="009C52C7" w14:paraId="3BF432CE" w14:textId="77777777" w:rsidTr="00195B26">
        <w:tc>
          <w:tcPr>
            <w:tcW w:w="2265" w:type="dxa"/>
          </w:tcPr>
          <w:p w14:paraId="1807FF18" w14:textId="11D9CBED" w:rsidR="00195B26" w:rsidRPr="002C1FE7" w:rsidRDefault="00195B26" w:rsidP="00830359">
            <w:pPr>
              <w:rPr>
                <w:rFonts w:cs="Times New Roman"/>
                <w:szCs w:val="20"/>
                <w:lang w:val="en-GB"/>
              </w:rPr>
            </w:pPr>
            <w:r w:rsidRPr="002C1FE7">
              <w:rPr>
                <w:rFonts w:cs="Times New Roman"/>
                <w:szCs w:val="20"/>
                <w:lang w:val="en-GB"/>
              </w:rPr>
              <w:t>18/09/17</w:t>
            </w:r>
          </w:p>
        </w:tc>
        <w:tc>
          <w:tcPr>
            <w:tcW w:w="2265" w:type="dxa"/>
          </w:tcPr>
          <w:p w14:paraId="05D20AFF" w14:textId="2DDAFBFA" w:rsidR="00195B26" w:rsidRPr="002C1FE7" w:rsidRDefault="00195B26" w:rsidP="00830359">
            <w:pPr>
              <w:rPr>
                <w:rFonts w:cs="Times New Roman"/>
                <w:szCs w:val="20"/>
                <w:lang w:val="en-GB"/>
              </w:rPr>
            </w:pPr>
            <w:r w:rsidRPr="002C1FE7">
              <w:rPr>
                <w:rFonts w:cs="Times New Roman"/>
                <w:szCs w:val="20"/>
                <w:lang w:val="en-GB"/>
              </w:rPr>
              <w:t>Erbil</w:t>
            </w:r>
          </w:p>
        </w:tc>
        <w:tc>
          <w:tcPr>
            <w:tcW w:w="4537" w:type="dxa"/>
          </w:tcPr>
          <w:p w14:paraId="6BEC5555" w14:textId="6291B93D" w:rsidR="00195B26" w:rsidRPr="002C1FE7" w:rsidRDefault="00195B26" w:rsidP="00830359">
            <w:pPr>
              <w:rPr>
                <w:rFonts w:cs="Times New Roman"/>
                <w:szCs w:val="20"/>
                <w:lang w:val="en-GB"/>
              </w:rPr>
            </w:pPr>
            <w:r w:rsidRPr="002C1FE7">
              <w:rPr>
                <w:rFonts w:cs="Times New Roman"/>
                <w:szCs w:val="20"/>
                <w:lang w:val="en-GB"/>
              </w:rPr>
              <w:t>Interview with WVI Erbil based project coordinators</w:t>
            </w:r>
          </w:p>
          <w:p w14:paraId="304039D4" w14:textId="17EBAC61" w:rsidR="00195B26" w:rsidRPr="002C1FE7" w:rsidRDefault="00195B26" w:rsidP="00830359">
            <w:pPr>
              <w:rPr>
                <w:rFonts w:cs="Times New Roman"/>
                <w:szCs w:val="20"/>
                <w:lang w:val="en-GB"/>
              </w:rPr>
            </w:pPr>
          </w:p>
          <w:p w14:paraId="4740BD0F" w14:textId="5F008BF3" w:rsidR="00195B26" w:rsidRPr="002C1FE7" w:rsidRDefault="00195B26" w:rsidP="00830359">
            <w:pPr>
              <w:rPr>
                <w:rFonts w:cs="Times New Roman"/>
                <w:szCs w:val="20"/>
                <w:lang w:val="en-GB"/>
              </w:rPr>
            </w:pPr>
            <w:r w:rsidRPr="002C1FE7">
              <w:rPr>
                <w:rFonts w:cs="Times New Roman"/>
                <w:szCs w:val="20"/>
                <w:lang w:val="en-GB"/>
              </w:rPr>
              <w:t>Interview with WVI SLT</w:t>
            </w:r>
          </w:p>
          <w:p w14:paraId="5C1F110A" w14:textId="0F11258F" w:rsidR="00195B26" w:rsidRPr="002C1FE7" w:rsidRDefault="00195B26" w:rsidP="00830359">
            <w:pPr>
              <w:rPr>
                <w:rFonts w:cs="Times New Roman"/>
                <w:szCs w:val="20"/>
                <w:lang w:val="en-GB"/>
              </w:rPr>
            </w:pPr>
          </w:p>
          <w:p w14:paraId="1FDA9E6A" w14:textId="377D9EDF" w:rsidR="00195B26" w:rsidRPr="002C1FE7" w:rsidRDefault="00195B26" w:rsidP="00830359">
            <w:pPr>
              <w:rPr>
                <w:rFonts w:cs="Times New Roman"/>
                <w:szCs w:val="20"/>
                <w:lang w:val="en-GB"/>
              </w:rPr>
            </w:pPr>
            <w:r w:rsidRPr="002C1FE7">
              <w:rPr>
                <w:rFonts w:cs="Times New Roman"/>
                <w:szCs w:val="20"/>
                <w:lang w:val="en-GB"/>
              </w:rPr>
              <w:t xml:space="preserve">Interview with CRS, Cordaid and Caritas Tcheque SLT </w:t>
            </w:r>
          </w:p>
          <w:p w14:paraId="0F77DC1F" w14:textId="77777777" w:rsidR="00195B26" w:rsidRPr="002C1FE7" w:rsidRDefault="00195B26" w:rsidP="00830359">
            <w:pPr>
              <w:rPr>
                <w:rFonts w:cs="Times New Roman"/>
                <w:szCs w:val="20"/>
                <w:lang w:val="en-GB"/>
              </w:rPr>
            </w:pPr>
          </w:p>
          <w:p w14:paraId="65FC92DB" w14:textId="254CD443" w:rsidR="00195B26" w:rsidRPr="002C1FE7" w:rsidRDefault="00195B26" w:rsidP="00830359">
            <w:pPr>
              <w:rPr>
                <w:rFonts w:cs="Times New Roman"/>
                <w:szCs w:val="20"/>
                <w:lang w:val="en-GB"/>
              </w:rPr>
            </w:pPr>
          </w:p>
        </w:tc>
      </w:tr>
      <w:tr w:rsidR="00195B26" w:rsidRPr="009C52C7" w14:paraId="0E01087F" w14:textId="77777777" w:rsidTr="00195B26">
        <w:tc>
          <w:tcPr>
            <w:tcW w:w="2265" w:type="dxa"/>
          </w:tcPr>
          <w:p w14:paraId="3764562D" w14:textId="1002CAFB" w:rsidR="00195B26" w:rsidRPr="002C1FE7" w:rsidRDefault="00195B26" w:rsidP="00830359">
            <w:pPr>
              <w:rPr>
                <w:rFonts w:cs="Times New Roman"/>
                <w:szCs w:val="20"/>
                <w:lang w:val="en-GB"/>
              </w:rPr>
            </w:pPr>
            <w:r w:rsidRPr="002C1FE7">
              <w:rPr>
                <w:rFonts w:cs="Times New Roman"/>
                <w:szCs w:val="20"/>
                <w:lang w:val="en-GB"/>
              </w:rPr>
              <w:t>19/09/17</w:t>
            </w:r>
          </w:p>
        </w:tc>
        <w:tc>
          <w:tcPr>
            <w:tcW w:w="2265" w:type="dxa"/>
          </w:tcPr>
          <w:p w14:paraId="1F4ACF85" w14:textId="18055E60" w:rsidR="00195B26" w:rsidRPr="002C1FE7" w:rsidRDefault="00195B26" w:rsidP="00830359">
            <w:pPr>
              <w:rPr>
                <w:rFonts w:cs="Times New Roman"/>
                <w:szCs w:val="20"/>
                <w:lang w:val="en-GB"/>
              </w:rPr>
            </w:pPr>
            <w:r w:rsidRPr="002C1FE7">
              <w:rPr>
                <w:rFonts w:cs="Times New Roman"/>
                <w:szCs w:val="20"/>
                <w:lang w:val="en-GB"/>
              </w:rPr>
              <w:t>Dohuk</w:t>
            </w:r>
          </w:p>
        </w:tc>
        <w:tc>
          <w:tcPr>
            <w:tcW w:w="4537" w:type="dxa"/>
          </w:tcPr>
          <w:p w14:paraId="68D1CF0B" w14:textId="6651EAE3" w:rsidR="00195B26" w:rsidRPr="002C1FE7" w:rsidRDefault="00195B26" w:rsidP="00830359">
            <w:pPr>
              <w:rPr>
                <w:rFonts w:cs="Times New Roman"/>
                <w:szCs w:val="20"/>
                <w:lang w:val="en-GB"/>
              </w:rPr>
            </w:pPr>
            <w:r w:rsidRPr="002C1FE7">
              <w:rPr>
                <w:rFonts w:cs="Times New Roman"/>
                <w:szCs w:val="20"/>
                <w:lang w:val="en-GB"/>
              </w:rPr>
              <w:t xml:space="preserve">Interview with CARE SLT and project staff and with management and project staff of </w:t>
            </w:r>
            <w:r w:rsidR="00751086">
              <w:rPr>
                <w:rFonts w:cs="Times New Roman"/>
                <w:szCs w:val="20"/>
                <w:lang w:val="en-GB"/>
              </w:rPr>
              <w:t xml:space="preserve">Harikar, </w:t>
            </w:r>
            <w:r w:rsidRPr="002C1FE7">
              <w:rPr>
                <w:rFonts w:cs="Times New Roman"/>
                <w:szCs w:val="20"/>
                <w:lang w:val="en-GB"/>
              </w:rPr>
              <w:t>CARE partner</w:t>
            </w:r>
          </w:p>
          <w:p w14:paraId="3B8DC6AF" w14:textId="77777777" w:rsidR="00195B26" w:rsidRPr="002C1FE7" w:rsidRDefault="00195B26" w:rsidP="00830359">
            <w:pPr>
              <w:rPr>
                <w:rFonts w:cs="Times New Roman"/>
                <w:szCs w:val="20"/>
                <w:lang w:val="en-GB"/>
              </w:rPr>
            </w:pPr>
          </w:p>
          <w:p w14:paraId="24638818" w14:textId="77777777" w:rsidR="00195B26" w:rsidRPr="002C1FE7" w:rsidRDefault="00195B26" w:rsidP="00830359">
            <w:pPr>
              <w:rPr>
                <w:rFonts w:cs="Times New Roman"/>
                <w:szCs w:val="20"/>
                <w:lang w:val="en-GB"/>
              </w:rPr>
            </w:pPr>
            <w:r w:rsidRPr="002C1FE7">
              <w:rPr>
                <w:rFonts w:cs="Times New Roman"/>
                <w:szCs w:val="20"/>
                <w:lang w:val="en-GB"/>
              </w:rPr>
              <w:t>Interview with WVI Dohuk based project staff</w:t>
            </w:r>
          </w:p>
          <w:p w14:paraId="34EE51EA" w14:textId="77777777" w:rsidR="00195B26" w:rsidRPr="002C1FE7" w:rsidRDefault="00195B26" w:rsidP="00830359">
            <w:pPr>
              <w:rPr>
                <w:rFonts w:cs="Times New Roman"/>
                <w:szCs w:val="20"/>
                <w:lang w:val="en-GB"/>
              </w:rPr>
            </w:pPr>
          </w:p>
          <w:p w14:paraId="79760DA0" w14:textId="450DCFC3" w:rsidR="00195B26" w:rsidRPr="002C1FE7" w:rsidRDefault="00195B26" w:rsidP="00830359">
            <w:pPr>
              <w:rPr>
                <w:rFonts w:cs="Times New Roman"/>
                <w:szCs w:val="20"/>
                <w:lang w:val="en-GB"/>
              </w:rPr>
            </w:pPr>
            <w:r w:rsidRPr="002C1FE7">
              <w:rPr>
                <w:rFonts w:cs="Times New Roman"/>
                <w:szCs w:val="20"/>
                <w:lang w:val="en-GB"/>
              </w:rPr>
              <w:t xml:space="preserve">Interview with CRS and Caritas Iraq Kurdistan- based project staff </w:t>
            </w:r>
          </w:p>
          <w:p w14:paraId="1407EC9F" w14:textId="7984996C" w:rsidR="00195B26" w:rsidRPr="002C1FE7" w:rsidRDefault="00195B26" w:rsidP="00830359">
            <w:pPr>
              <w:rPr>
                <w:rFonts w:cs="Times New Roman"/>
                <w:szCs w:val="20"/>
                <w:lang w:val="en-GB"/>
              </w:rPr>
            </w:pPr>
          </w:p>
        </w:tc>
      </w:tr>
      <w:tr w:rsidR="00195B26" w:rsidRPr="009C52C7" w14:paraId="3B45332A" w14:textId="77777777" w:rsidTr="00195B26">
        <w:tc>
          <w:tcPr>
            <w:tcW w:w="2265" w:type="dxa"/>
          </w:tcPr>
          <w:p w14:paraId="172DA6DC" w14:textId="0D516158" w:rsidR="00195B26" w:rsidRPr="002C1FE7" w:rsidRDefault="00195B26" w:rsidP="00830359">
            <w:pPr>
              <w:rPr>
                <w:rFonts w:cs="Times New Roman"/>
                <w:szCs w:val="20"/>
                <w:lang w:val="en-GB"/>
              </w:rPr>
            </w:pPr>
            <w:r w:rsidRPr="002C1FE7">
              <w:rPr>
                <w:rFonts w:cs="Times New Roman"/>
                <w:szCs w:val="20"/>
                <w:lang w:val="en-GB"/>
              </w:rPr>
              <w:t>20/09/17</w:t>
            </w:r>
          </w:p>
        </w:tc>
        <w:tc>
          <w:tcPr>
            <w:tcW w:w="2265" w:type="dxa"/>
          </w:tcPr>
          <w:p w14:paraId="4D670E4D" w14:textId="656E6027" w:rsidR="00195B26" w:rsidRPr="002C1FE7" w:rsidRDefault="00195B26" w:rsidP="00830359">
            <w:pPr>
              <w:rPr>
                <w:rFonts w:cs="Times New Roman"/>
                <w:szCs w:val="20"/>
                <w:lang w:val="en-GB"/>
              </w:rPr>
            </w:pPr>
            <w:r w:rsidRPr="002C1FE7">
              <w:rPr>
                <w:rFonts w:cs="Times New Roman"/>
                <w:szCs w:val="20"/>
                <w:lang w:val="en-GB"/>
              </w:rPr>
              <w:t xml:space="preserve">Chamisku IDP camp, Zakho </w:t>
            </w:r>
          </w:p>
        </w:tc>
        <w:tc>
          <w:tcPr>
            <w:tcW w:w="4537" w:type="dxa"/>
          </w:tcPr>
          <w:p w14:paraId="4C67FC01" w14:textId="6DFF9A2F" w:rsidR="00195B26" w:rsidRPr="002C1FE7" w:rsidRDefault="00195B26" w:rsidP="00830359">
            <w:pPr>
              <w:rPr>
                <w:rFonts w:cs="Times New Roman"/>
                <w:szCs w:val="20"/>
                <w:lang w:val="en-GB"/>
              </w:rPr>
            </w:pPr>
            <w:r w:rsidRPr="002C1FE7">
              <w:rPr>
                <w:rFonts w:cs="Times New Roman"/>
                <w:szCs w:val="20"/>
                <w:lang w:val="en-GB"/>
              </w:rPr>
              <w:t xml:space="preserve">Separate FGD with female and male displaced youth, and with male and female displaced adults. </w:t>
            </w:r>
          </w:p>
          <w:p w14:paraId="588ED9D1" w14:textId="4B249A59" w:rsidR="00195B26" w:rsidRPr="002C1FE7" w:rsidRDefault="00195B26" w:rsidP="00830359">
            <w:pPr>
              <w:rPr>
                <w:rFonts w:cs="Times New Roman"/>
                <w:szCs w:val="20"/>
                <w:lang w:val="en-GB"/>
              </w:rPr>
            </w:pPr>
          </w:p>
          <w:p w14:paraId="40E05177" w14:textId="111FC21E" w:rsidR="00195B26" w:rsidRPr="002C1FE7" w:rsidRDefault="00195B26" w:rsidP="00830359">
            <w:pPr>
              <w:rPr>
                <w:rFonts w:cs="Times New Roman"/>
                <w:szCs w:val="20"/>
                <w:lang w:val="en-GB"/>
              </w:rPr>
            </w:pPr>
            <w:r w:rsidRPr="002C1FE7">
              <w:rPr>
                <w:rFonts w:cs="Times New Roman"/>
                <w:szCs w:val="20"/>
                <w:lang w:val="en-GB"/>
              </w:rPr>
              <w:t>Intervie</w:t>
            </w:r>
            <w:r w:rsidR="00751086">
              <w:rPr>
                <w:rFonts w:cs="Times New Roman"/>
                <w:szCs w:val="20"/>
                <w:lang w:val="en-GB"/>
              </w:rPr>
              <w:t>w with enumerators working for Harikar</w:t>
            </w:r>
          </w:p>
          <w:p w14:paraId="06FABE80" w14:textId="0D185F26" w:rsidR="00195B26" w:rsidRPr="002C1FE7" w:rsidRDefault="00195B26" w:rsidP="00830359">
            <w:pPr>
              <w:rPr>
                <w:rFonts w:cs="Times New Roman"/>
                <w:szCs w:val="20"/>
                <w:lang w:val="en-GB"/>
              </w:rPr>
            </w:pPr>
          </w:p>
          <w:p w14:paraId="6FABD82F" w14:textId="7448AB63" w:rsidR="00195B26" w:rsidRPr="002C1FE7" w:rsidRDefault="00195B26" w:rsidP="00830359">
            <w:pPr>
              <w:rPr>
                <w:rFonts w:cs="Times New Roman"/>
                <w:szCs w:val="20"/>
                <w:lang w:val="en-GB"/>
              </w:rPr>
            </w:pPr>
            <w:r w:rsidRPr="002C1FE7">
              <w:rPr>
                <w:rFonts w:cs="Times New Roman"/>
                <w:szCs w:val="20"/>
                <w:lang w:val="en-GB"/>
              </w:rPr>
              <w:t>Interview with the IDP Camp Manager (Government representative)</w:t>
            </w:r>
          </w:p>
          <w:p w14:paraId="059C8BA6" w14:textId="4DE89BBF" w:rsidR="00195B26" w:rsidRPr="002C1FE7" w:rsidRDefault="00195B26" w:rsidP="00830359">
            <w:pPr>
              <w:rPr>
                <w:rFonts w:cs="Times New Roman"/>
                <w:szCs w:val="20"/>
                <w:lang w:val="en-GB"/>
              </w:rPr>
            </w:pPr>
            <w:r w:rsidRPr="002C1FE7">
              <w:rPr>
                <w:rFonts w:cs="Times New Roman"/>
                <w:szCs w:val="20"/>
                <w:lang w:val="en-GB"/>
              </w:rPr>
              <w:t xml:space="preserve"> </w:t>
            </w:r>
          </w:p>
        </w:tc>
      </w:tr>
      <w:tr w:rsidR="00195B26" w:rsidRPr="009C52C7" w14:paraId="1118D688" w14:textId="77777777" w:rsidTr="00195B26">
        <w:tc>
          <w:tcPr>
            <w:tcW w:w="2265" w:type="dxa"/>
          </w:tcPr>
          <w:p w14:paraId="27187F31" w14:textId="0164C64F" w:rsidR="00195B26" w:rsidRPr="002C1FE7" w:rsidRDefault="00195B26" w:rsidP="00830359">
            <w:pPr>
              <w:rPr>
                <w:rFonts w:cs="Times New Roman"/>
                <w:szCs w:val="20"/>
                <w:lang w:val="en-GB"/>
              </w:rPr>
            </w:pPr>
            <w:r w:rsidRPr="002C1FE7">
              <w:rPr>
                <w:rFonts w:cs="Times New Roman"/>
                <w:szCs w:val="20"/>
                <w:lang w:val="en-GB"/>
              </w:rPr>
              <w:t>21/09/17</w:t>
            </w:r>
          </w:p>
        </w:tc>
        <w:tc>
          <w:tcPr>
            <w:tcW w:w="2265" w:type="dxa"/>
          </w:tcPr>
          <w:p w14:paraId="1B632661" w14:textId="77777777" w:rsidR="001A3B7D" w:rsidRPr="00751086" w:rsidRDefault="001A3B7D" w:rsidP="00830359">
            <w:pPr>
              <w:rPr>
                <w:rFonts w:cs="Times New Roman"/>
                <w:szCs w:val="20"/>
                <w:lang w:val="es-ES"/>
              </w:rPr>
            </w:pPr>
            <w:r w:rsidRPr="00751086">
              <w:rPr>
                <w:rFonts w:cs="Times New Roman"/>
                <w:szCs w:val="20"/>
                <w:lang w:val="es-ES"/>
              </w:rPr>
              <w:t xml:space="preserve">Qoshtapa refugee camp, </w:t>
            </w:r>
            <w:r w:rsidR="00195B26" w:rsidRPr="00751086">
              <w:rPr>
                <w:rFonts w:cs="Times New Roman"/>
                <w:szCs w:val="20"/>
                <w:lang w:val="es-ES"/>
              </w:rPr>
              <w:t>Erbil</w:t>
            </w:r>
          </w:p>
          <w:p w14:paraId="7B9E689E" w14:textId="77777777" w:rsidR="001A3B7D" w:rsidRPr="00751086" w:rsidRDefault="001A3B7D" w:rsidP="00830359">
            <w:pPr>
              <w:rPr>
                <w:rFonts w:cs="Times New Roman"/>
                <w:szCs w:val="20"/>
                <w:lang w:val="es-ES"/>
              </w:rPr>
            </w:pPr>
          </w:p>
          <w:p w14:paraId="71D43E62" w14:textId="6BE66A87" w:rsidR="00195B26" w:rsidRPr="00751086" w:rsidRDefault="001A3B7D" w:rsidP="00830359">
            <w:pPr>
              <w:rPr>
                <w:rFonts w:cs="Times New Roman"/>
                <w:szCs w:val="20"/>
                <w:lang w:val="es-ES"/>
              </w:rPr>
            </w:pPr>
            <w:r w:rsidRPr="00751086">
              <w:rPr>
                <w:rFonts w:cs="Times New Roman"/>
                <w:szCs w:val="20"/>
                <w:lang w:val="es-ES"/>
              </w:rPr>
              <w:t>Erbil</w:t>
            </w:r>
          </w:p>
        </w:tc>
        <w:tc>
          <w:tcPr>
            <w:tcW w:w="4537" w:type="dxa"/>
          </w:tcPr>
          <w:p w14:paraId="6AC5D9F8" w14:textId="575E3F46" w:rsidR="00195B26" w:rsidRPr="002C1FE7" w:rsidRDefault="001A3B7D" w:rsidP="00830359">
            <w:pPr>
              <w:rPr>
                <w:rFonts w:cs="Times New Roman"/>
                <w:szCs w:val="20"/>
                <w:lang w:val="en-GB"/>
              </w:rPr>
            </w:pPr>
            <w:r w:rsidRPr="001A3B7D">
              <w:rPr>
                <w:rFonts w:eastAsia="Times New Roman"/>
                <w:lang w:val="en-GB"/>
              </w:rPr>
              <w:t>Qoshtapa</w:t>
            </w:r>
            <w:r w:rsidR="00195B26" w:rsidRPr="002C1FE7">
              <w:rPr>
                <w:rFonts w:cs="Times New Roman"/>
                <w:szCs w:val="20"/>
                <w:lang w:val="en-GB"/>
              </w:rPr>
              <w:t xml:space="preserve"> Syrian refugees camp: Interview with WV project staff</w:t>
            </w:r>
          </w:p>
          <w:p w14:paraId="284CF41E" w14:textId="77777777" w:rsidR="00195B26" w:rsidRPr="002C1FE7" w:rsidRDefault="00195B26" w:rsidP="00830359">
            <w:pPr>
              <w:rPr>
                <w:rFonts w:cs="Times New Roman"/>
                <w:szCs w:val="20"/>
                <w:lang w:val="en-GB"/>
              </w:rPr>
            </w:pPr>
          </w:p>
          <w:p w14:paraId="7388BF9E" w14:textId="77777777" w:rsidR="00195B26" w:rsidRPr="002C1FE7" w:rsidRDefault="00195B26" w:rsidP="00830359">
            <w:pPr>
              <w:rPr>
                <w:rFonts w:cs="Times New Roman"/>
                <w:szCs w:val="20"/>
                <w:lang w:val="en-GB"/>
              </w:rPr>
            </w:pPr>
            <w:r w:rsidRPr="002C1FE7">
              <w:rPr>
                <w:rFonts w:cs="Times New Roman"/>
                <w:szCs w:val="20"/>
                <w:lang w:val="en-GB"/>
              </w:rPr>
              <w:t>Debrief with CRS SLT representative</w:t>
            </w:r>
          </w:p>
          <w:p w14:paraId="139D34D8" w14:textId="77777777" w:rsidR="00195B26" w:rsidRPr="002C1FE7" w:rsidRDefault="00195B26" w:rsidP="00830359">
            <w:pPr>
              <w:rPr>
                <w:rFonts w:cs="Times New Roman"/>
                <w:szCs w:val="20"/>
                <w:lang w:val="en-GB"/>
              </w:rPr>
            </w:pPr>
          </w:p>
          <w:p w14:paraId="405162BA" w14:textId="77777777" w:rsidR="00195B26" w:rsidRPr="002C1FE7" w:rsidRDefault="00195B26" w:rsidP="00830359">
            <w:pPr>
              <w:rPr>
                <w:rFonts w:cs="Times New Roman"/>
                <w:szCs w:val="20"/>
                <w:lang w:val="en-GB"/>
              </w:rPr>
            </w:pPr>
            <w:r w:rsidRPr="002C1FE7">
              <w:rPr>
                <w:rFonts w:cs="Times New Roman"/>
                <w:szCs w:val="20"/>
                <w:lang w:val="en-GB"/>
              </w:rPr>
              <w:t xml:space="preserve">Debrief with WVI SLT representatives </w:t>
            </w:r>
          </w:p>
          <w:p w14:paraId="766A2FA8" w14:textId="4A62833C" w:rsidR="00195B26" w:rsidRPr="002C1FE7" w:rsidRDefault="00195B26" w:rsidP="00830359">
            <w:pPr>
              <w:rPr>
                <w:rFonts w:cs="Times New Roman"/>
                <w:szCs w:val="20"/>
                <w:lang w:val="en-GB"/>
              </w:rPr>
            </w:pPr>
            <w:r w:rsidRPr="002C1FE7">
              <w:rPr>
                <w:rFonts w:cs="Times New Roman"/>
                <w:szCs w:val="20"/>
                <w:lang w:val="en-GB"/>
              </w:rPr>
              <w:t xml:space="preserve"> </w:t>
            </w:r>
          </w:p>
        </w:tc>
      </w:tr>
    </w:tbl>
    <w:p w14:paraId="5BDDEFD5" w14:textId="0BDD2985" w:rsidR="00FD515D" w:rsidRPr="000C3FD1" w:rsidRDefault="00FD515D" w:rsidP="00FD515D">
      <w:pPr>
        <w:spacing w:after="0"/>
        <w:rPr>
          <w:rFonts w:cs="Times New Roman"/>
          <w:b/>
          <w:sz w:val="20"/>
          <w:szCs w:val="20"/>
          <w:lang w:val="en-GB"/>
        </w:rPr>
      </w:pPr>
    </w:p>
    <w:p w14:paraId="1479FA27" w14:textId="762ADF4A" w:rsidR="00F47897" w:rsidRDefault="00F47897">
      <w:pPr>
        <w:rPr>
          <w:rFonts w:ascii="Times New Roman" w:eastAsiaTheme="majorEastAsia" w:hAnsi="Times New Roman" w:cs="Times New Roman"/>
          <w:b/>
          <w:sz w:val="32"/>
          <w:szCs w:val="32"/>
          <w:lang w:val="en-GB"/>
        </w:rPr>
      </w:pPr>
      <w:r>
        <w:rPr>
          <w:rFonts w:eastAsiaTheme="majorEastAsia"/>
          <w:bCs/>
          <w:sz w:val="32"/>
          <w:szCs w:val="32"/>
          <w:lang w:val="en-GB"/>
        </w:rPr>
        <w:br w:type="page"/>
      </w:r>
    </w:p>
    <w:p w14:paraId="0E04D333" w14:textId="3926FF25" w:rsidR="002C1FE7" w:rsidRPr="00E418DF" w:rsidRDefault="002C1FE7" w:rsidP="002C1FE7">
      <w:pPr>
        <w:pStyle w:val="Heading1"/>
        <w:keepNext/>
        <w:keepLines/>
        <w:spacing w:before="240" w:beforeAutospacing="0" w:after="240" w:afterAutospacing="0" w:line="259" w:lineRule="auto"/>
        <w:rPr>
          <w:rFonts w:asciiTheme="minorHAnsi" w:eastAsiaTheme="majorEastAsia" w:hAnsiTheme="minorHAnsi"/>
          <w:bCs w:val="0"/>
          <w:kern w:val="0"/>
          <w:sz w:val="24"/>
          <w:szCs w:val="20"/>
          <w:lang w:val="en-GB" w:eastAsia="en-US"/>
        </w:rPr>
      </w:pPr>
      <w:r w:rsidRPr="00E418DF">
        <w:rPr>
          <w:rFonts w:asciiTheme="minorHAnsi" w:eastAsiaTheme="majorEastAsia" w:hAnsiTheme="minorHAnsi"/>
          <w:bCs w:val="0"/>
          <w:kern w:val="0"/>
          <w:sz w:val="24"/>
          <w:szCs w:val="20"/>
          <w:lang w:val="en-GB" w:eastAsia="en-US"/>
        </w:rPr>
        <w:t>Annex 2: Summary of main findings, SCHR Peer review in northern Uganda -18-21 September 2017</w:t>
      </w:r>
    </w:p>
    <w:p w14:paraId="608971FC" w14:textId="77777777" w:rsidR="008F672A" w:rsidRPr="006B5CCD" w:rsidRDefault="008F672A" w:rsidP="008F672A">
      <w:pPr>
        <w:spacing w:after="0" w:line="240" w:lineRule="auto"/>
        <w:rPr>
          <w:b/>
          <w:sz w:val="24"/>
          <w:lang w:val="en-GB"/>
        </w:rPr>
      </w:pPr>
      <w:r w:rsidRPr="006B5CCD">
        <w:rPr>
          <w:b/>
          <w:sz w:val="24"/>
          <w:lang w:val="en-GB"/>
        </w:rPr>
        <w:t xml:space="preserve">Enablers of participation: </w:t>
      </w:r>
    </w:p>
    <w:p w14:paraId="26550F50" w14:textId="77777777" w:rsidR="006B5CCD" w:rsidRPr="009979DA" w:rsidRDefault="006B5CCD" w:rsidP="006B5CCD">
      <w:pPr>
        <w:spacing w:after="0" w:line="240" w:lineRule="auto"/>
        <w:rPr>
          <w:rFonts w:eastAsia="Times New Roman"/>
          <w:b/>
          <w:lang w:val="en-GB"/>
        </w:rPr>
      </w:pPr>
    </w:p>
    <w:tbl>
      <w:tblPr>
        <w:tblStyle w:val="TableGrid"/>
        <w:tblW w:w="9180" w:type="dxa"/>
        <w:tblInd w:w="-113" w:type="dxa"/>
        <w:tblLook w:val="04A0" w:firstRow="1" w:lastRow="0" w:firstColumn="1" w:lastColumn="0" w:noHBand="0" w:noVBand="1"/>
      </w:tblPr>
      <w:tblGrid>
        <w:gridCol w:w="5070"/>
        <w:gridCol w:w="4110"/>
      </w:tblGrid>
      <w:tr w:rsidR="008F672A" w:rsidRPr="00C64E6D" w14:paraId="1D57EDF6" w14:textId="77777777" w:rsidTr="00A0507C">
        <w:tc>
          <w:tcPr>
            <w:tcW w:w="5070" w:type="dxa"/>
          </w:tcPr>
          <w:p w14:paraId="35C717C4" w14:textId="33BF6D67" w:rsidR="008F672A" w:rsidRPr="00C64E6D" w:rsidRDefault="008F672A" w:rsidP="00706849">
            <w:pPr>
              <w:rPr>
                <w:b/>
                <w:sz w:val="24"/>
              </w:rPr>
            </w:pPr>
            <w:r>
              <w:rPr>
                <w:b/>
                <w:sz w:val="24"/>
              </w:rPr>
              <w:t>External to the organisation</w:t>
            </w:r>
          </w:p>
        </w:tc>
        <w:tc>
          <w:tcPr>
            <w:tcW w:w="4110" w:type="dxa"/>
          </w:tcPr>
          <w:p w14:paraId="31E79BFC" w14:textId="04A8B862" w:rsidR="008F672A" w:rsidRPr="00C64E6D" w:rsidRDefault="008F672A" w:rsidP="00706849">
            <w:pPr>
              <w:rPr>
                <w:b/>
                <w:sz w:val="24"/>
              </w:rPr>
            </w:pPr>
            <w:r>
              <w:rPr>
                <w:b/>
                <w:sz w:val="24"/>
              </w:rPr>
              <w:t>Internal to the organisation</w:t>
            </w:r>
          </w:p>
        </w:tc>
      </w:tr>
      <w:tr w:rsidR="008F672A" w:rsidRPr="00B12CF3" w14:paraId="0B633070" w14:textId="77777777" w:rsidTr="00A0507C">
        <w:tc>
          <w:tcPr>
            <w:tcW w:w="5070" w:type="dxa"/>
            <w:tcBorders>
              <w:bottom w:val="single" w:sz="4" w:space="0" w:color="auto"/>
            </w:tcBorders>
          </w:tcPr>
          <w:p w14:paraId="586DC5CA" w14:textId="77777777" w:rsidR="008F672A" w:rsidRPr="00EF62BB" w:rsidRDefault="008F672A" w:rsidP="00706849">
            <w:pPr>
              <w:ind w:left="720"/>
            </w:pPr>
          </w:p>
          <w:p w14:paraId="0649CB46" w14:textId="12FD36E2" w:rsidR="008F672A" w:rsidRPr="00A0507C" w:rsidRDefault="008F672A" w:rsidP="006B5CCD">
            <w:pPr>
              <w:pStyle w:val="ListParagraph"/>
              <w:numPr>
                <w:ilvl w:val="0"/>
                <w:numId w:val="13"/>
              </w:numPr>
              <w:ind w:left="360"/>
              <w:rPr>
                <w:lang w:val="en-GB"/>
              </w:rPr>
            </w:pPr>
            <w:r w:rsidRPr="006B5CCD">
              <w:rPr>
                <w:rFonts w:cs="Times New Roman"/>
                <w:lang w:val="en-GB"/>
              </w:rPr>
              <w:t>Government commitments and investments</w:t>
            </w:r>
            <w:r w:rsidRPr="006B5CCD">
              <w:rPr>
                <w:rFonts w:cs="Times New Roman"/>
                <w:b/>
                <w:lang w:val="en-GB"/>
              </w:rPr>
              <w:t>:</w:t>
            </w:r>
            <w:r w:rsidRPr="006B5CCD">
              <w:rPr>
                <w:rFonts w:cs="Times New Roman"/>
                <w:lang w:val="en-GB"/>
              </w:rPr>
              <w:t xml:space="preserve"> the national and local government is fully engaged in the humanitarian response for the refugees through the Office of the Prime Minister</w:t>
            </w:r>
            <w:r w:rsidR="00A0507C">
              <w:rPr>
                <w:rFonts w:cs="Times New Roman"/>
                <w:lang w:val="en-GB"/>
              </w:rPr>
              <w:t xml:space="preserve">, including </w:t>
            </w:r>
            <w:r w:rsidRPr="00A0507C">
              <w:rPr>
                <w:rFonts w:cs="Times New Roman"/>
                <w:lang w:val="en-GB"/>
              </w:rPr>
              <w:t>facilitat</w:t>
            </w:r>
            <w:r w:rsidR="00A0507C">
              <w:rPr>
                <w:rFonts w:cs="Times New Roman"/>
                <w:lang w:val="en-GB"/>
              </w:rPr>
              <w:t xml:space="preserve">ing </w:t>
            </w:r>
            <w:r w:rsidRPr="00A0507C">
              <w:rPr>
                <w:rFonts w:cs="Times New Roman"/>
                <w:lang w:val="en-GB"/>
              </w:rPr>
              <w:t xml:space="preserve">formal elections </w:t>
            </w:r>
            <w:r w:rsidR="00132553">
              <w:rPr>
                <w:rFonts w:cs="Times New Roman"/>
                <w:lang w:val="en-GB"/>
              </w:rPr>
              <w:t>to the R</w:t>
            </w:r>
            <w:r w:rsidR="00A0507C">
              <w:rPr>
                <w:rFonts w:cs="Times New Roman"/>
                <w:lang w:val="en-GB"/>
              </w:rPr>
              <w:t>efugee</w:t>
            </w:r>
            <w:r w:rsidR="00132553">
              <w:rPr>
                <w:rFonts w:cs="Times New Roman"/>
                <w:lang w:val="en-GB"/>
              </w:rPr>
              <w:t xml:space="preserve"> Welfare Councils</w:t>
            </w:r>
          </w:p>
          <w:p w14:paraId="5807FDB1" w14:textId="6CEC88AD" w:rsidR="008F672A" w:rsidRPr="006B5CCD" w:rsidRDefault="008F672A" w:rsidP="006B5CCD">
            <w:pPr>
              <w:pStyle w:val="ListParagraph"/>
              <w:numPr>
                <w:ilvl w:val="0"/>
                <w:numId w:val="13"/>
              </w:numPr>
              <w:ind w:left="360"/>
              <w:rPr>
                <w:lang w:val="en-GB"/>
              </w:rPr>
            </w:pPr>
            <w:r w:rsidRPr="006B5CCD">
              <w:rPr>
                <w:rFonts w:cs="Times New Roman"/>
                <w:lang w:val="en-GB"/>
              </w:rPr>
              <w:t xml:space="preserve">Active and outspoken people affected by crisis: affected people, including children, actively engage in participation mechanisms and are outspoken </w:t>
            </w:r>
            <w:r w:rsidR="00132553">
              <w:rPr>
                <w:rFonts w:cs="Times New Roman"/>
                <w:lang w:val="en-GB"/>
              </w:rPr>
              <w:t>about their concerns and issues</w:t>
            </w:r>
          </w:p>
          <w:p w14:paraId="459C5128" w14:textId="6F8DEDA5" w:rsidR="008F672A" w:rsidRPr="006B5CCD" w:rsidRDefault="008F672A" w:rsidP="006B5CCD">
            <w:pPr>
              <w:pStyle w:val="ListParagraph"/>
              <w:numPr>
                <w:ilvl w:val="0"/>
                <w:numId w:val="13"/>
              </w:numPr>
              <w:ind w:left="360"/>
              <w:rPr>
                <w:lang w:val="en-GB"/>
              </w:rPr>
            </w:pPr>
            <w:r w:rsidRPr="00E70354">
              <w:rPr>
                <w:lang w:val="en-US"/>
              </w:rPr>
              <w:t>Flexible donors</w:t>
            </w:r>
            <w:r w:rsidRPr="006B5CCD">
              <w:rPr>
                <w:rFonts w:cs="Times New Roman"/>
                <w:b/>
                <w:lang w:val="en-GB"/>
              </w:rPr>
              <w:t>:</w:t>
            </w:r>
            <w:r w:rsidRPr="006B5CCD">
              <w:rPr>
                <w:rFonts w:cs="Times New Roman"/>
                <w:lang w:val="en-GB"/>
              </w:rPr>
              <w:t xml:space="preserve"> Several donors, especially when they have proximity to operations, are reported to be flexible and allow organisations to adapt their interventions according to affected people’s expressed needs, feedback and complaints</w:t>
            </w:r>
          </w:p>
          <w:p w14:paraId="18E24DEA" w14:textId="77777777" w:rsidR="008F672A" w:rsidRPr="00D372EE" w:rsidRDefault="008F672A" w:rsidP="00706849">
            <w:pPr>
              <w:rPr>
                <w:lang w:val="en-US"/>
              </w:rPr>
            </w:pPr>
          </w:p>
        </w:tc>
        <w:tc>
          <w:tcPr>
            <w:tcW w:w="4110" w:type="dxa"/>
            <w:tcBorders>
              <w:bottom w:val="single" w:sz="4" w:space="0" w:color="auto"/>
            </w:tcBorders>
          </w:tcPr>
          <w:p w14:paraId="3CD3D071" w14:textId="77777777" w:rsidR="008F672A" w:rsidRPr="006B5CCD" w:rsidRDefault="008F672A" w:rsidP="00706849">
            <w:pPr>
              <w:ind w:left="720"/>
              <w:rPr>
                <w:lang w:val="en-GB"/>
              </w:rPr>
            </w:pPr>
          </w:p>
          <w:p w14:paraId="24F04F00" w14:textId="77777777" w:rsidR="008F672A" w:rsidRPr="00E05673" w:rsidRDefault="008F672A" w:rsidP="006B5CCD">
            <w:pPr>
              <w:numPr>
                <w:ilvl w:val="0"/>
                <w:numId w:val="14"/>
              </w:numPr>
            </w:pPr>
            <w:r>
              <w:rPr>
                <w:lang w:val="en-US"/>
              </w:rPr>
              <w:t>Strong desire by NGOs-RC/RC</w:t>
            </w:r>
            <w:r w:rsidRPr="00E05673">
              <w:rPr>
                <w:lang w:val="en-US"/>
              </w:rPr>
              <w:t xml:space="preserve"> </w:t>
            </w:r>
            <w:r>
              <w:rPr>
                <w:lang w:val="en-US"/>
              </w:rPr>
              <w:t>to promote participation,</w:t>
            </w:r>
            <w:r w:rsidRPr="00E05673">
              <w:rPr>
                <w:lang w:val="en-US"/>
              </w:rPr>
              <w:t xml:space="preserve"> </w:t>
            </w:r>
            <w:r>
              <w:rPr>
                <w:lang w:val="en-US"/>
              </w:rPr>
              <w:t xml:space="preserve">and deployment of </w:t>
            </w:r>
            <w:r w:rsidRPr="00E05673">
              <w:rPr>
                <w:lang w:val="en-US"/>
              </w:rPr>
              <w:t>mechanism</w:t>
            </w:r>
            <w:r>
              <w:rPr>
                <w:lang w:val="en-US"/>
              </w:rPr>
              <w:t xml:space="preserve">s, </w:t>
            </w:r>
            <w:r w:rsidRPr="00E05673">
              <w:rPr>
                <w:lang w:val="en-US"/>
              </w:rPr>
              <w:t>tools and investment (ex</w:t>
            </w:r>
            <w:r>
              <w:rPr>
                <w:lang w:val="en-US"/>
              </w:rPr>
              <w:t>. In training</w:t>
            </w:r>
            <w:r w:rsidRPr="00E05673">
              <w:rPr>
                <w:lang w:val="en-US"/>
              </w:rPr>
              <w:t>)</w:t>
            </w:r>
          </w:p>
          <w:p w14:paraId="32138592" w14:textId="77777777" w:rsidR="008F672A" w:rsidRPr="006B5CCD" w:rsidRDefault="008F672A" w:rsidP="006B5CCD">
            <w:pPr>
              <w:numPr>
                <w:ilvl w:val="0"/>
                <w:numId w:val="14"/>
              </w:numPr>
              <w:rPr>
                <w:lang w:val="en-GB"/>
              </w:rPr>
            </w:pPr>
            <w:r w:rsidRPr="00E05673">
              <w:rPr>
                <w:lang w:val="en-US"/>
              </w:rPr>
              <w:t>National staff and partners with local knowledge and access</w:t>
            </w:r>
          </w:p>
          <w:p w14:paraId="31F81253" w14:textId="0AC3C339" w:rsidR="008F672A" w:rsidRPr="006B5CCD" w:rsidRDefault="008F672A" w:rsidP="006B5CCD">
            <w:pPr>
              <w:numPr>
                <w:ilvl w:val="0"/>
                <w:numId w:val="14"/>
              </w:numPr>
              <w:rPr>
                <w:lang w:val="en-GB"/>
              </w:rPr>
            </w:pPr>
            <w:r w:rsidRPr="00E05673">
              <w:rPr>
                <w:lang w:val="en-US"/>
              </w:rPr>
              <w:t>Strategic partnerships ve</w:t>
            </w:r>
            <w:r w:rsidR="00132553">
              <w:rPr>
                <w:lang w:val="en-US"/>
              </w:rPr>
              <w:t>rsus transactional partnerships</w:t>
            </w:r>
          </w:p>
          <w:p w14:paraId="14E3BD4B" w14:textId="77777777" w:rsidR="008F672A" w:rsidRPr="006B5CCD" w:rsidRDefault="008F672A" w:rsidP="00706849">
            <w:pPr>
              <w:ind w:left="360"/>
              <w:rPr>
                <w:lang w:val="en-GB"/>
              </w:rPr>
            </w:pPr>
          </w:p>
          <w:p w14:paraId="7FE19021" w14:textId="77777777" w:rsidR="008F672A" w:rsidRPr="006B5CCD" w:rsidRDefault="008F672A" w:rsidP="00706849">
            <w:pPr>
              <w:ind w:left="720"/>
              <w:rPr>
                <w:lang w:val="en-GB"/>
              </w:rPr>
            </w:pPr>
          </w:p>
        </w:tc>
      </w:tr>
    </w:tbl>
    <w:p w14:paraId="7745E245" w14:textId="77777777" w:rsidR="006B5CCD" w:rsidRDefault="006B5CCD" w:rsidP="006B5CCD">
      <w:pPr>
        <w:rPr>
          <w:rFonts w:eastAsia="Times New Roman"/>
          <w:b/>
          <w:lang w:val="en-GB"/>
        </w:rPr>
      </w:pPr>
    </w:p>
    <w:p w14:paraId="36560D66" w14:textId="2E163D38" w:rsidR="006B5CCD" w:rsidRDefault="004F3BD3" w:rsidP="006B5CCD">
      <w:pPr>
        <w:rPr>
          <w:rFonts w:eastAsia="Times New Roman"/>
          <w:b/>
          <w:lang w:val="en-GB"/>
        </w:rPr>
      </w:pPr>
      <w:r>
        <w:rPr>
          <w:b/>
          <w:sz w:val="24"/>
        </w:rPr>
        <w:t>Disenablers</w:t>
      </w:r>
      <w:r w:rsidR="008F672A">
        <w:rPr>
          <w:b/>
          <w:sz w:val="24"/>
        </w:rPr>
        <w:t xml:space="preserve"> of participation : </w:t>
      </w:r>
    </w:p>
    <w:tbl>
      <w:tblPr>
        <w:tblStyle w:val="TableGrid"/>
        <w:tblW w:w="9180" w:type="dxa"/>
        <w:tblInd w:w="-113" w:type="dxa"/>
        <w:tblLook w:val="04A0" w:firstRow="1" w:lastRow="0" w:firstColumn="1" w:lastColumn="0" w:noHBand="0" w:noVBand="1"/>
      </w:tblPr>
      <w:tblGrid>
        <w:gridCol w:w="5070"/>
        <w:gridCol w:w="4110"/>
      </w:tblGrid>
      <w:tr w:rsidR="008F672A" w:rsidRPr="00C64E6D" w14:paraId="0724D4D7" w14:textId="77777777" w:rsidTr="00A0507C">
        <w:tc>
          <w:tcPr>
            <w:tcW w:w="5070" w:type="dxa"/>
          </w:tcPr>
          <w:p w14:paraId="61E9D2B2" w14:textId="77777777" w:rsidR="008F672A" w:rsidRPr="00C64E6D" w:rsidRDefault="008F672A" w:rsidP="00706849">
            <w:pPr>
              <w:rPr>
                <w:b/>
                <w:sz w:val="24"/>
              </w:rPr>
            </w:pPr>
            <w:r>
              <w:rPr>
                <w:b/>
                <w:sz w:val="24"/>
              </w:rPr>
              <w:t>External</w:t>
            </w:r>
          </w:p>
        </w:tc>
        <w:tc>
          <w:tcPr>
            <w:tcW w:w="4110" w:type="dxa"/>
          </w:tcPr>
          <w:p w14:paraId="6244DED1" w14:textId="77777777" w:rsidR="008F672A" w:rsidRPr="00C64E6D" w:rsidRDefault="008F672A" w:rsidP="00706849">
            <w:pPr>
              <w:rPr>
                <w:b/>
                <w:sz w:val="24"/>
              </w:rPr>
            </w:pPr>
            <w:r>
              <w:rPr>
                <w:b/>
                <w:sz w:val="24"/>
              </w:rPr>
              <w:t>Internal</w:t>
            </w:r>
          </w:p>
        </w:tc>
      </w:tr>
      <w:tr w:rsidR="008F672A" w:rsidRPr="009C52C7" w14:paraId="37F145C3" w14:textId="77777777" w:rsidTr="00A0507C">
        <w:tc>
          <w:tcPr>
            <w:tcW w:w="5070" w:type="dxa"/>
            <w:tcBorders>
              <w:bottom w:val="single" w:sz="4" w:space="0" w:color="auto"/>
            </w:tcBorders>
          </w:tcPr>
          <w:p w14:paraId="598B4CBE" w14:textId="77777777" w:rsidR="008F672A" w:rsidRPr="008658AD" w:rsidRDefault="008F672A" w:rsidP="00706849">
            <w:pPr>
              <w:ind w:left="720"/>
            </w:pPr>
          </w:p>
          <w:p w14:paraId="500BE9D7" w14:textId="77777777" w:rsidR="008F672A" w:rsidRPr="006B5CCD" w:rsidRDefault="008F672A" w:rsidP="006B5CCD">
            <w:pPr>
              <w:numPr>
                <w:ilvl w:val="0"/>
                <w:numId w:val="15"/>
              </w:numPr>
              <w:rPr>
                <w:lang w:val="en-GB"/>
              </w:rPr>
            </w:pPr>
            <w:r w:rsidRPr="00E05673">
              <w:rPr>
                <w:lang w:val="en-US"/>
              </w:rPr>
              <w:t>Centralisation</w:t>
            </w:r>
            <w:r>
              <w:rPr>
                <w:lang w:val="en-US"/>
              </w:rPr>
              <w:t xml:space="preserve"> of decision making (UN a</w:t>
            </w:r>
            <w:r w:rsidRPr="00E05673">
              <w:rPr>
                <w:lang w:val="en-US"/>
              </w:rPr>
              <w:t>gencies,</w:t>
            </w:r>
            <w:r>
              <w:rPr>
                <w:lang w:val="en-US"/>
              </w:rPr>
              <w:t xml:space="preserve"> donors ,</w:t>
            </w:r>
            <w:r w:rsidRPr="00E05673">
              <w:rPr>
                <w:lang w:val="en-US"/>
              </w:rPr>
              <w:t>…)</w:t>
            </w:r>
          </w:p>
          <w:p w14:paraId="7416CE9E" w14:textId="77777777" w:rsidR="008F672A" w:rsidRPr="006B5CCD" w:rsidRDefault="008F672A" w:rsidP="006B5CCD">
            <w:pPr>
              <w:numPr>
                <w:ilvl w:val="0"/>
                <w:numId w:val="15"/>
              </w:numPr>
              <w:rPr>
                <w:lang w:val="en-GB"/>
              </w:rPr>
            </w:pPr>
            <w:r w:rsidRPr="00E05673">
              <w:rPr>
                <w:lang w:val="en-US"/>
              </w:rPr>
              <w:t>C</w:t>
            </w:r>
            <w:r>
              <w:rPr>
                <w:lang w:val="en-US"/>
              </w:rPr>
              <w:t>o</w:t>
            </w:r>
            <w:r w:rsidRPr="00E05673">
              <w:rPr>
                <w:lang w:val="en-US"/>
              </w:rPr>
              <w:t>mpetition for resources across sectors</w:t>
            </w:r>
            <w:r>
              <w:rPr>
                <w:lang w:val="en-US"/>
              </w:rPr>
              <w:t xml:space="preserve"> and organisations</w:t>
            </w:r>
          </w:p>
          <w:p w14:paraId="2A018AB8" w14:textId="77777777" w:rsidR="008F672A" w:rsidRPr="006B5CCD" w:rsidRDefault="008F672A" w:rsidP="006B5CCD">
            <w:pPr>
              <w:numPr>
                <w:ilvl w:val="0"/>
                <w:numId w:val="15"/>
              </w:numPr>
              <w:rPr>
                <w:lang w:val="en-GB"/>
              </w:rPr>
            </w:pPr>
            <w:r w:rsidRPr="00F9017B">
              <w:rPr>
                <w:lang w:val="en-US"/>
              </w:rPr>
              <w:t>Funding of participation is project-oriented</w:t>
            </w:r>
          </w:p>
          <w:p w14:paraId="1833907C" w14:textId="77777777" w:rsidR="008F672A" w:rsidRPr="005D4063" w:rsidRDefault="008F672A" w:rsidP="006B5CCD">
            <w:pPr>
              <w:numPr>
                <w:ilvl w:val="0"/>
                <w:numId w:val="15"/>
              </w:numPr>
            </w:pPr>
            <w:r w:rsidRPr="00F9017B">
              <w:rPr>
                <w:lang w:val="en-US"/>
              </w:rPr>
              <w:t>Short term and unpredictable funding</w:t>
            </w:r>
          </w:p>
          <w:p w14:paraId="0D3A9E25" w14:textId="77777777" w:rsidR="008F672A" w:rsidRPr="00EF62BB" w:rsidRDefault="008F672A" w:rsidP="006B5CCD">
            <w:pPr>
              <w:numPr>
                <w:ilvl w:val="0"/>
                <w:numId w:val="15"/>
              </w:numPr>
            </w:pPr>
            <w:r w:rsidRPr="008658AD">
              <w:rPr>
                <w:lang w:val="en-US"/>
              </w:rPr>
              <w:t>Insufficient funding</w:t>
            </w:r>
          </w:p>
          <w:p w14:paraId="1CD1B4A8" w14:textId="77777777" w:rsidR="008F672A" w:rsidRPr="006B5CCD" w:rsidRDefault="008F672A" w:rsidP="006B5CCD">
            <w:pPr>
              <w:numPr>
                <w:ilvl w:val="0"/>
                <w:numId w:val="15"/>
              </w:numPr>
              <w:rPr>
                <w:lang w:val="en-GB"/>
              </w:rPr>
            </w:pPr>
            <w:r w:rsidRPr="006B5CCD">
              <w:rPr>
                <w:rFonts w:cs="Times New Roman"/>
                <w:lang w:val="en-GB"/>
              </w:rPr>
              <w:t xml:space="preserve">Delays in the grant allocation process which creates frustration with affected people, and breaks the trust that they might have had in organisations. </w:t>
            </w:r>
          </w:p>
          <w:p w14:paraId="340C41E3" w14:textId="77777777" w:rsidR="008F672A" w:rsidRPr="006B5CCD" w:rsidRDefault="008F672A" w:rsidP="00706849">
            <w:pPr>
              <w:rPr>
                <w:lang w:val="en-GB"/>
              </w:rPr>
            </w:pPr>
          </w:p>
        </w:tc>
        <w:tc>
          <w:tcPr>
            <w:tcW w:w="4110" w:type="dxa"/>
            <w:tcBorders>
              <w:bottom w:val="single" w:sz="4" w:space="0" w:color="auto"/>
            </w:tcBorders>
          </w:tcPr>
          <w:p w14:paraId="5548656D" w14:textId="77777777" w:rsidR="008F672A" w:rsidRPr="006B5CCD" w:rsidRDefault="008F672A" w:rsidP="00706849">
            <w:pPr>
              <w:ind w:left="720"/>
              <w:rPr>
                <w:lang w:val="en-GB"/>
              </w:rPr>
            </w:pPr>
          </w:p>
          <w:p w14:paraId="5567D6C5" w14:textId="77777777" w:rsidR="008F672A" w:rsidRPr="006B5CCD" w:rsidRDefault="008F672A" w:rsidP="006B5CCD">
            <w:pPr>
              <w:pStyle w:val="ListParagraph"/>
              <w:numPr>
                <w:ilvl w:val="0"/>
                <w:numId w:val="16"/>
              </w:numPr>
              <w:rPr>
                <w:lang w:val="en-GB"/>
              </w:rPr>
            </w:pPr>
            <w:r w:rsidRPr="0061056B">
              <w:rPr>
                <w:lang w:val="en-US"/>
              </w:rPr>
              <w:t>Limited</w:t>
            </w:r>
            <w:r>
              <w:rPr>
                <w:lang w:val="en-US"/>
              </w:rPr>
              <w:t xml:space="preserve"> will and </w:t>
            </w:r>
            <w:r w:rsidRPr="0061056B">
              <w:rPr>
                <w:lang w:val="en-US"/>
              </w:rPr>
              <w:t>ability to understand affected people’s culture and social structures.</w:t>
            </w:r>
          </w:p>
          <w:p w14:paraId="0BA72B0C" w14:textId="77777777" w:rsidR="008F672A" w:rsidRPr="00E05673" w:rsidRDefault="008F672A" w:rsidP="006B5CCD">
            <w:pPr>
              <w:pStyle w:val="ListParagraph"/>
              <w:numPr>
                <w:ilvl w:val="0"/>
                <w:numId w:val="16"/>
              </w:numPr>
            </w:pPr>
            <w:r>
              <w:t>“</w:t>
            </w:r>
            <w:r w:rsidRPr="0061056B">
              <w:rPr>
                <w:lang w:val="en-US"/>
              </w:rPr>
              <w:t>Sectoralisaton</w:t>
            </w:r>
            <w:r>
              <w:rPr>
                <w:lang w:val="en-US"/>
              </w:rPr>
              <w:t xml:space="preserve">” throughout </w:t>
            </w:r>
            <w:r w:rsidRPr="0061056B">
              <w:rPr>
                <w:lang w:val="en-US"/>
              </w:rPr>
              <w:t>the project cycle</w:t>
            </w:r>
          </w:p>
          <w:p w14:paraId="272B18EB" w14:textId="77777777" w:rsidR="008F672A" w:rsidRPr="000D20FD" w:rsidRDefault="008F672A" w:rsidP="006B5CCD">
            <w:pPr>
              <w:numPr>
                <w:ilvl w:val="0"/>
                <w:numId w:val="16"/>
              </w:numPr>
            </w:pPr>
            <w:r>
              <w:rPr>
                <w:lang w:val="en-US"/>
              </w:rPr>
              <w:t>“</w:t>
            </w:r>
            <w:r w:rsidRPr="00E05673">
              <w:rPr>
                <w:lang w:val="en-US"/>
              </w:rPr>
              <w:t>Sectoralisation</w:t>
            </w:r>
            <w:r>
              <w:rPr>
                <w:lang w:val="en-US"/>
              </w:rPr>
              <w:t>”</w:t>
            </w:r>
            <w:r w:rsidRPr="00E05673">
              <w:rPr>
                <w:lang w:val="en-US"/>
              </w:rPr>
              <w:t xml:space="preserve"> of funding and resourcing</w:t>
            </w:r>
          </w:p>
          <w:p w14:paraId="3B67B3A2" w14:textId="6A591793" w:rsidR="008F672A" w:rsidRPr="006B5CCD" w:rsidRDefault="008F672A" w:rsidP="006B5CCD">
            <w:pPr>
              <w:numPr>
                <w:ilvl w:val="0"/>
                <w:numId w:val="16"/>
              </w:numPr>
              <w:rPr>
                <w:lang w:val="en-GB"/>
              </w:rPr>
            </w:pPr>
            <w:r w:rsidRPr="006B5CCD">
              <w:rPr>
                <w:rFonts w:cs="Times New Roman"/>
                <w:lang w:val="en-GB"/>
              </w:rPr>
              <w:t xml:space="preserve">Little efforts towards child participation even though children represent </w:t>
            </w:r>
            <w:r w:rsidR="00132553" w:rsidRPr="006B5CCD">
              <w:rPr>
                <w:rFonts w:cs="Times New Roman"/>
                <w:lang w:val="en-GB"/>
              </w:rPr>
              <w:t>most of</w:t>
            </w:r>
            <w:r w:rsidRPr="006B5CCD">
              <w:rPr>
                <w:rFonts w:cs="Times New Roman"/>
                <w:lang w:val="en-GB"/>
              </w:rPr>
              <w:t xml:space="preserve"> the refugee population and are eager to be involved in the life of their community</w:t>
            </w:r>
          </w:p>
          <w:p w14:paraId="1463138A" w14:textId="77777777" w:rsidR="008F672A" w:rsidRPr="006B5CCD" w:rsidRDefault="008F672A" w:rsidP="00706849">
            <w:pPr>
              <w:ind w:left="360"/>
              <w:rPr>
                <w:lang w:val="en-GB"/>
              </w:rPr>
            </w:pPr>
          </w:p>
        </w:tc>
      </w:tr>
    </w:tbl>
    <w:p w14:paraId="3E0E1F42" w14:textId="77777777" w:rsidR="006B5CCD" w:rsidRDefault="006B5CCD" w:rsidP="006B5CCD">
      <w:pPr>
        <w:rPr>
          <w:rFonts w:cs="Times New Roman"/>
          <w:b/>
          <w:lang w:val="en-GB"/>
        </w:rPr>
      </w:pPr>
    </w:p>
    <w:p w14:paraId="66276209" w14:textId="77777777" w:rsidR="006B5CCD" w:rsidRPr="007E227E" w:rsidRDefault="006B5CCD" w:rsidP="006B5CCD">
      <w:pPr>
        <w:rPr>
          <w:rFonts w:cs="Times New Roman"/>
          <w:b/>
          <w:lang w:val="en-GB"/>
        </w:rPr>
      </w:pPr>
      <w:r>
        <w:rPr>
          <w:rFonts w:cs="Times New Roman"/>
          <w:b/>
          <w:lang w:val="en-GB"/>
        </w:rPr>
        <w:t>QUESTIONS / ISSUES IDENTIFIED</w:t>
      </w:r>
      <w:r w:rsidRPr="007E227E">
        <w:rPr>
          <w:rFonts w:cs="Times New Roman"/>
          <w:b/>
          <w:lang w:val="en-GB"/>
        </w:rPr>
        <w:t xml:space="preserve"> </w:t>
      </w:r>
    </w:p>
    <w:p w14:paraId="0FE8CEFC" w14:textId="77777777" w:rsidR="006B5CCD" w:rsidRPr="00F97C6F" w:rsidRDefault="006B5CCD" w:rsidP="006B5CCD">
      <w:pPr>
        <w:pStyle w:val="ListParagraph"/>
        <w:numPr>
          <w:ilvl w:val="0"/>
          <w:numId w:val="7"/>
        </w:numPr>
        <w:spacing w:after="200" w:line="276" w:lineRule="auto"/>
        <w:jc w:val="both"/>
        <w:rPr>
          <w:b/>
          <w:lang w:val="en-GB"/>
        </w:rPr>
      </w:pPr>
      <w:r w:rsidRPr="00F97C6F">
        <w:rPr>
          <w:b/>
          <w:lang w:val="en-GB"/>
        </w:rPr>
        <w:t xml:space="preserve">No common understanding of participation and its purpose: </w:t>
      </w:r>
      <w:r w:rsidRPr="00F97C6F">
        <w:rPr>
          <w:lang w:val="en-GB"/>
        </w:rPr>
        <w:t xml:space="preserve">There isn’t a shared vision of what participation is supposed to achieve. Participation is initiated by humanitarian organisations, to serve their programmatic purposes, it does not capture affected people’s aspirations. </w:t>
      </w:r>
    </w:p>
    <w:p w14:paraId="7159599C" w14:textId="77777777" w:rsidR="006B5CCD" w:rsidRPr="00F97C6F" w:rsidRDefault="006B5CCD" w:rsidP="006B5CCD">
      <w:pPr>
        <w:pStyle w:val="ListParagraph"/>
        <w:spacing w:after="200" w:line="276" w:lineRule="auto"/>
        <w:jc w:val="both"/>
        <w:rPr>
          <w:b/>
          <w:lang w:val="en-GB"/>
        </w:rPr>
      </w:pPr>
    </w:p>
    <w:p w14:paraId="0BCF9B21" w14:textId="77777777" w:rsidR="006B5CCD" w:rsidRDefault="006B5CCD" w:rsidP="006B5CCD">
      <w:pPr>
        <w:pStyle w:val="ListParagraph"/>
        <w:numPr>
          <w:ilvl w:val="0"/>
          <w:numId w:val="8"/>
        </w:numPr>
        <w:spacing w:after="200" w:line="276" w:lineRule="auto"/>
        <w:jc w:val="both"/>
        <w:rPr>
          <w:b/>
          <w:lang w:val="en-GB"/>
        </w:rPr>
      </w:pPr>
      <w:r>
        <w:rPr>
          <w:b/>
          <w:lang w:val="en-GB"/>
        </w:rPr>
        <w:t>Low p</w:t>
      </w:r>
      <w:r w:rsidRPr="00CA46C7">
        <w:rPr>
          <w:b/>
          <w:lang w:val="en-GB"/>
        </w:rPr>
        <w:t xml:space="preserve">articipation </w:t>
      </w:r>
      <w:r>
        <w:rPr>
          <w:b/>
          <w:lang w:val="en-GB"/>
        </w:rPr>
        <w:t>at the</w:t>
      </w:r>
      <w:r w:rsidRPr="00CA46C7">
        <w:rPr>
          <w:b/>
          <w:lang w:val="en-GB"/>
        </w:rPr>
        <w:t xml:space="preserve"> </w:t>
      </w:r>
      <w:r>
        <w:rPr>
          <w:b/>
          <w:lang w:val="en-GB"/>
        </w:rPr>
        <w:t>initial stage of the response (including when refugees change site)</w:t>
      </w:r>
      <w:r w:rsidRPr="00CA46C7">
        <w:rPr>
          <w:b/>
          <w:lang w:val="en-GB"/>
        </w:rPr>
        <w:t>.</w:t>
      </w:r>
      <w:r>
        <w:rPr>
          <w:b/>
          <w:lang w:val="en-GB"/>
        </w:rPr>
        <w:t xml:space="preserve">  </w:t>
      </w:r>
      <w:r>
        <w:rPr>
          <w:lang w:val="en-GB"/>
        </w:rPr>
        <w:t>There is an unexamined assumption that participation is impossible in “the emergency stage” – even though the response was organized by many, very experienced emergency response organizations, which should, in theory, not be caught completely off guard by the exigencies of a crisis.</w:t>
      </w:r>
    </w:p>
    <w:p w14:paraId="367EF25E" w14:textId="77777777" w:rsidR="006B5CCD" w:rsidRPr="00875D99" w:rsidRDefault="006B5CCD" w:rsidP="006B5CCD">
      <w:pPr>
        <w:pStyle w:val="ListParagraph"/>
        <w:spacing w:after="200" w:line="276" w:lineRule="auto"/>
        <w:jc w:val="both"/>
        <w:rPr>
          <w:b/>
          <w:lang w:val="en-GB"/>
        </w:rPr>
      </w:pPr>
    </w:p>
    <w:p w14:paraId="3F24CE86" w14:textId="77777777" w:rsidR="006B5CCD" w:rsidRPr="007965C7" w:rsidRDefault="006B5CCD" w:rsidP="006B5CCD">
      <w:pPr>
        <w:pStyle w:val="ListParagraph"/>
        <w:numPr>
          <w:ilvl w:val="0"/>
          <w:numId w:val="8"/>
        </w:numPr>
        <w:spacing w:after="200" w:line="276" w:lineRule="auto"/>
        <w:jc w:val="both"/>
        <w:rPr>
          <w:b/>
          <w:lang w:val="en-GB"/>
        </w:rPr>
      </w:pPr>
      <w:r>
        <w:rPr>
          <w:rFonts w:cs="Times New Roman"/>
          <w:b/>
          <w:lang w:val="en-GB"/>
        </w:rPr>
        <w:t xml:space="preserve">Siloed sectoral approach and inadequate information sharing across sectors: </w:t>
      </w:r>
    </w:p>
    <w:p w14:paraId="0213C45F" w14:textId="77777777" w:rsidR="006B5CCD" w:rsidRPr="007965C7" w:rsidRDefault="006B5CCD" w:rsidP="006B5CCD">
      <w:pPr>
        <w:pStyle w:val="ListParagraph"/>
        <w:numPr>
          <w:ilvl w:val="1"/>
          <w:numId w:val="8"/>
        </w:numPr>
        <w:spacing w:after="200" w:line="276" w:lineRule="auto"/>
        <w:jc w:val="both"/>
        <w:rPr>
          <w:b/>
          <w:lang w:val="en-GB"/>
        </w:rPr>
      </w:pPr>
      <w:r w:rsidRPr="0075197C">
        <w:rPr>
          <w:rFonts w:cs="Times New Roman"/>
          <w:lang w:val="en-GB"/>
        </w:rPr>
        <w:t>Information sharing across the sectors is unequa</w:t>
      </w:r>
      <w:r>
        <w:rPr>
          <w:rFonts w:cs="Times New Roman"/>
          <w:lang w:val="en-GB"/>
        </w:rPr>
        <w:t>l from one settlement to another</w:t>
      </w:r>
    </w:p>
    <w:p w14:paraId="4B61343F" w14:textId="77777777" w:rsidR="006B5CCD" w:rsidRPr="007965C7" w:rsidRDefault="006B5CCD" w:rsidP="006B5CCD">
      <w:pPr>
        <w:pStyle w:val="ListParagraph"/>
        <w:numPr>
          <w:ilvl w:val="1"/>
          <w:numId w:val="8"/>
        </w:numPr>
        <w:spacing w:after="200" w:line="276" w:lineRule="auto"/>
        <w:jc w:val="both"/>
        <w:rPr>
          <w:b/>
          <w:lang w:val="en-GB"/>
        </w:rPr>
      </w:pPr>
      <w:r w:rsidRPr="0075197C">
        <w:rPr>
          <w:rFonts w:cs="Times New Roman"/>
          <w:lang w:val="en-GB"/>
        </w:rPr>
        <w:t xml:space="preserve">A lot of data is collected from </w:t>
      </w:r>
      <w:r>
        <w:rPr>
          <w:rFonts w:cs="Times New Roman"/>
          <w:lang w:val="en-GB"/>
        </w:rPr>
        <w:t xml:space="preserve">affected people </w:t>
      </w:r>
      <w:r w:rsidRPr="0075197C">
        <w:rPr>
          <w:rFonts w:cs="Times New Roman"/>
          <w:lang w:val="en-GB"/>
        </w:rPr>
        <w:t xml:space="preserve">through different methods, presented </w:t>
      </w:r>
      <w:r>
        <w:rPr>
          <w:rFonts w:cs="Times New Roman"/>
          <w:lang w:val="en-GB"/>
        </w:rPr>
        <w:t>i</w:t>
      </w:r>
      <w:r w:rsidRPr="0075197C">
        <w:rPr>
          <w:rFonts w:cs="Times New Roman"/>
          <w:lang w:val="en-GB"/>
        </w:rPr>
        <w:t>n different format</w:t>
      </w:r>
      <w:r>
        <w:rPr>
          <w:rFonts w:cs="Times New Roman"/>
          <w:lang w:val="en-GB"/>
        </w:rPr>
        <w:t>s</w:t>
      </w:r>
      <w:r w:rsidRPr="0075197C">
        <w:rPr>
          <w:rFonts w:cs="Times New Roman"/>
          <w:lang w:val="en-GB"/>
        </w:rPr>
        <w:t xml:space="preserve">, and owned by </w:t>
      </w:r>
      <w:r>
        <w:rPr>
          <w:rFonts w:cs="Times New Roman"/>
          <w:lang w:val="en-GB"/>
        </w:rPr>
        <w:t xml:space="preserve">the </w:t>
      </w:r>
      <w:r w:rsidRPr="0075197C">
        <w:rPr>
          <w:rFonts w:cs="Times New Roman"/>
          <w:lang w:val="en-GB"/>
        </w:rPr>
        <w:t>organisation who collect</w:t>
      </w:r>
      <w:r>
        <w:rPr>
          <w:rFonts w:cs="Times New Roman"/>
          <w:lang w:val="en-GB"/>
        </w:rPr>
        <w:t>ed the data</w:t>
      </w:r>
      <w:r w:rsidRPr="0075197C">
        <w:rPr>
          <w:rFonts w:cs="Times New Roman"/>
          <w:lang w:val="en-GB"/>
        </w:rPr>
        <w:t xml:space="preserve"> </w:t>
      </w:r>
    </w:p>
    <w:p w14:paraId="6B1E3685" w14:textId="77777777" w:rsidR="006B5CCD" w:rsidRPr="002245DA" w:rsidRDefault="006B5CCD" w:rsidP="006B5CCD">
      <w:pPr>
        <w:pStyle w:val="ListParagraph"/>
        <w:numPr>
          <w:ilvl w:val="1"/>
          <w:numId w:val="8"/>
        </w:numPr>
        <w:spacing w:after="200" w:line="276" w:lineRule="auto"/>
        <w:jc w:val="both"/>
        <w:rPr>
          <w:b/>
          <w:lang w:val="en-GB"/>
        </w:rPr>
      </w:pPr>
      <w:r w:rsidRPr="0075197C">
        <w:rPr>
          <w:rFonts w:cs="Times New Roman"/>
          <w:lang w:val="en-GB"/>
        </w:rPr>
        <w:t>Measurement of participa</w:t>
      </w:r>
      <w:r>
        <w:rPr>
          <w:rFonts w:cs="Times New Roman"/>
          <w:lang w:val="en-GB"/>
        </w:rPr>
        <w:t>tion and/or satisfaction of beneficiaries is not currently a priority for organizations, the UN or back donors</w:t>
      </w:r>
    </w:p>
    <w:p w14:paraId="011E70CD" w14:textId="77777777" w:rsidR="006B5CCD" w:rsidRPr="00CA46C7" w:rsidRDefault="006B5CCD" w:rsidP="006B5CCD">
      <w:pPr>
        <w:pStyle w:val="ListParagraph"/>
        <w:numPr>
          <w:ilvl w:val="1"/>
          <w:numId w:val="9"/>
        </w:numPr>
        <w:spacing w:after="200" w:line="276" w:lineRule="auto"/>
        <w:jc w:val="both"/>
        <w:rPr>
          <w:lang w:val="en-GB"/>
        </w:rPr>
      </w:pPr>
      <w:r>
        <w:rPr>
          <w:lang w:val="en-GB"/>
        </w:rPr>
        <w:t>There seems to be an over-reliance</w:t>
      </w:r>
      <w:r w:rsidRPr="00CA46C7">
        <w:rPr>
          <w:lang w:val="en-GB"/>
        </w:rPr>
        <w:t xml:space="preserve"> on sectoral needs assessment at the expense of </w:t>
      </w:r>
      <w:r>
        <w:rPr>
          <w:lang w:val="en-GB"/>
        </w:rPr>
        <w:t xml:space="preserve">a broader </w:t>
      </w:r>
      <w:r w:rsidRPr="00CA46C7">
        <w:rPr>
          <w:lang w:val="en-GB"/>
        </w:rPr>
        <w:t>situation and context analysis</w:t>
      </w:r>
    </w:p>
    <w:p w14:paraId="07DA0BEB" w14:textId="64B3F3F5" w:rsidR="006B5CCD" w:rsidRPr="00CA46C7" w:rsidRDefault="006B5CCD" w:rsidP="006B5CCD">
      <w:pPr>
        <w:pStyle w:val="ListParagraph"/>
        <w:numPr>
          <w:ilvl w:val="1"/>
          <w:numId w:val="9"/>
        </w:numPr>
        <w:spacing w:after="200" w:line="276" w:lineRule="auto"/>
        <w:jc w:val="both"/>
        <w:rPr>
          <w:lang w:val="en-GB"/>
        </w:rPr>
      </w:pPr>
      <w:r>
        <w:rPr>
          <w:lang w:val="en-GB"/>
        </w:rPr>
        <w:t>It is not clear that organizations are ready to</w:t>
      </w:r>
      <w:r w:rsidRPr="00CA46C7">
        <w:rPr>
          <w:lang w:val="en-GB"/>
        </w:rPr>
        <w:t xml:space="preserve"> effectively process </w:t>
      </w:r>
      <w:r>
        <w:rPr>
          <w:lang w:val="en-GB"/>
        </w:rPr>
        <w:t xml:space="preserve">the views of affected persons </w:t>
      </w:r>
      <w:r w:rsidR="00A0507C">
        <w:rPr>
          <w:lang w:val="en-GB"/>
        </w:rPr>
        <w:t>to</w:t>
      </w:r>
      <w:r>
        <w:rPr>
          <w:lang w:val="en-GB"/>
        </w:rPr>
        <w:t xml:space="preserve"> rapidly</w:t>
      </w:r>
      <w:r w:rsidRPr="00CA46C7">
        <w:rPr>
          <w:lang w:val="en-GB"/>
        </w:rPr>
        <w:t xml:space="preserve"> </w:t>
      </w:r>
      <w:r w:rsidR="00A0507C">
        <w:rPr>
          <w:lang w:val="en-GB"/>
        </w:rPr>
        <w:t>inform decision-making</w:t>
      </w:r>
    </w:p>
    <w:p w14:paraId="5307E6A0" w14:textId="77777777" w:rsidR="006B5CCD" w:rsidRPr="00875D99" w:rsidRDefault="006B5CCD" w:rsidP="006B5CCD">
      <w:pPr>
        <w:pStyle w:val="ListParagraph"/>
        <w:jc w:val="both"/>
        <w:rPr>
          <w:rFonts w:cs="Times New Roman"/>
          <w:lang w:val="en-GB"/>
        </w:rPr>
      </w:pPr>
    </w:p>
    <w:p w14:paraId="71276C90" w14:textId="77777777" w:rsidR="006B5CCD" w:rsidRDefault="006B5CCD" w:rsidP="006B5CCD">
      <w:pPr>
        <w:pStyle w:val="ListParagraph"/>
        <w:numPr>
          <w:ilvl w:val="0"/>
          <w:numId w:val="9"/>
        </w:numPr>
        <w:jc w:val="both"/>
        <w:rPr>
          <w:rFonts w:cs="Times New Roman"/>
          <w:lang w:val="en-GB"/>
        </w:rPr>
      </w:pPr>
      <w:r>
        <w:rPr>
          <w:rFonts w:cs="Times New Roman"/>
          <w:b/>
          <w:lang w:val="en-GB"/>
        </w:rPr>
        <w:t>Different p</w:t>
      </w:r>
      <w:r w:rsidRPr="007965C7">
        <w:rPr>
          <w:rFonts w:cs="Times New Roman"/>
          <w:b/>
          <w:lang w:val="en-GB"/>
        </w:rPr>
        <w:t xml:space="preserve">articipation capacities </w:t>
      </w:r>
      <w:r>
        <w:rPr>
          <w:rFonts w:cs="Times New Roman"/>
          <w:b/>
          <w:lang w:val="en-GB"/>
        </w:rPr>
        <w:t>across organisations</w:t>
      </w:r>
      <w:r w:rsidRPr="007965C7">
        <w:rPr>
          <w:rFonts w:cs="Times New Roman"/>
          <w:b/>
          <w:lang w:val="en-GB"/>
        </w:rPr>
        <w:t>:</w:t>
      </w:r>
      <w:r w:rsidRPr="007965C7">
        <w:rPr>
          <w:rFonts w:cs="Times New Roman"/>
          <w:lang w:val="en-GB"/>
        </w:rPr>
        <w:t xml:space="preserve"> Even though, generally, </w:t>
      </w:r>
      <w:r>
        <w:rPr>
          <w:rFonts w:cs="Times New Roman"/>
          <w:lang w:val="en-GB"/>
        </w:rPr>
        <w:t xml:space="preserve">organisations are promoting participation, capacities and tools are very different from one organisation to another. This is especially problematic when different participatory approaches are adopted with the same affected population. </w:t>
      </w:r>
      <w:r w:rsidRPr="007965C7">
        <w:rPr>
          <w:rFonts w:cs="Times New Roman"/>
          <w:lang w:val="en-GB"/>
        </w:rPr>
        <w:t>Only</w:t>
      </w:r>
      <w:r>
        <w:rPr>
          <w:rFonts w:cs="Times New Roman"/>
          <w:lang w:val="en-GB"/>
        </w:rPr>
        <w:t xml:space="preserve"> a</w:t>
      </w:r>
      <w:r w:rsidRPr="007965C7">
        <w:rPr>
          <w:rFonts w:cs="Times New Roman"/>
          <w:lang w:val="en-GB"/>
        </w:rPr>
        <w:t xml:space="preserve"> few organisations may have </w:t>
      </w:r>
      <w:r>
        <w:rPr>
          <w:rFonts w:cs="Times New Roman"/>
          <w:lang w:val="en-GB"/>
        </w:rPr>
        <w:t xml:space="preserve">child participation </w:t>
      </w:r>
      <w:r w:rsidRPr="007965C7">
        <w:rPr>
          <w:rFonts w:cs="Times New Roman"/>
          <w:lang w:val="en-GB"/>
        </w:rPr>
        <w:t xml:space="preserve">knowledge and </w:t>
      </w:r>
      <w:r>
        <w:rPr>
          <w:rFonts w:cs="Times New Roman"/>
          <w:lang w:val="en-GB"/>
        </w:rPr>
        <w:t>skills</w:t>
      </w:r>
      <w:r w:rsidRPr="007965C7">
        <w:rPr>
          <w:rFonts w:cs="Times New Roman"/>
          <w:lang w:val="en-GB"/>
        </w:rPr>
        <w:t xml:space="preserve">. </w:t>
      </w:r>
    </w:p>
    <w:p w14:paraId="107CD025" w14:textId="77777777" w:rsidR="006B5CCD" w:rsidRDefault="006B5CCD" w:rsidP="006B5CCD">
      <w:pPr>
        <w:pStyle w:val="ListParagraph"/>
        <w:numPr>
          <w:ilvl w:val="1"/>
          <w:numId w:val="9"/>
        </w:numPr>
        <w:jc w:val="both"/>
        <w:rPr>
          <w:rFonts w:cs="Times New Roman"/>
          <w:lang w:val="en-GB"/>
        </w:rPr>
      </w:pPr>
      <w:r w:rsidRPr="005F7C7D">
        <w:rPr>
          <w:rFonts w:cs="Times New Roman"/>
          <w:lang w:val="en-GB"/>
        </w:rPr>
        <w:t xml:space="preserve">How </w:t>
      </w:r>
      <w:r>
        <w:rPr>
          <w:rFonts w:cs="Times New Roman"/>
          <w:lang w:val="en-GB"/>
        </w:rPr>
        <w:t xml:space="preserve">can all </w:t>
      </w:r>
      <w:r w:rsidRPr="005F7C7D">
        <w:rPr>
          <w:rFonts w:cs="Times New Roman"/>
          <w:lang w:val="en-GB"/>
        </w:rPr>
        <w:t>organisation</w:t>
      </w:r>
      <w:r>
        <w:rPr>
          <w:rFonts w:cs="Times New Roman"/>
          <w:lang w:val="en-GB"/>
        </w:rPr>
        <w:t xml:space="preserve">s and institutions working with affected people have some minimum ability and capacity for </w:t>
      </w:r>
      <w:r w:rsidRPr="005F7C7D">
        <w:rPr>
          <w:rFonts w:cs="Times New Roman"/>
          <w:lang w:val="en-GB"/>
        </w:rPr>
        <w:t xml:space="preserve">participation, </w:t>
      </w:r>
      <w:r>
        <w:rPr>
          <w:rFonts w:cs="Times New Roman"/>
          <w:lang w:val="en-GB"/>
        </w:rPr>
        <w:t xml:space="preserve">including </w:t>
      </w:r>
      <w:r w:rsidRPr="005F7C7D">
        <w:rPr>
          <w:rFonts w:cs="Times New Roman"/>
          <w:lang w:val="en-GB"/>
        </w:rPr>
        <w:t xml:space="preserve">child participation? </w:t>
      </w:r>
    </w:p>
    <w:p w14:paraId="1F49CA6C" w14:textId="77777777" w:rsidR="006B5CCD" w:rsidRDefault="006B5CCD" w:rsidP="006B5CCD">
      <w:pPr>
        <w:pStyle w:val="ListParagraph"/>
        <w:numPr>
          <w:ilvl w:val="1"/>
          <w:numId w:val="9"/>
        </w:numPr>
        <w:jc w:val="both"/>
        <w:rPr>
          <w:rFonts w:cs="Times New Roman"/>
          <w:lang w:val="en-GB"/>
        </w:rPr>
      </w:pPr>
      <w:r w:rsidRPr="005F7C7D">
        <w:rPr>
          <w:rFonts w:cs="Times New Roman"/>
          <w:lang w:val="en-GB"/>
        </w:rPr>
        <w:t xml:space="preserve">How </w:t>
      </w:r>
      <w:r>
        <w:rPr>
          <w:rFonts w:cs="Times New Roman"/>
          <w:lang w:val="en-GB"/>
        </w:rPr>
        <w:t xml:space="preserve">can </w:t>
      </w:r>
      <w:r w:rsidRPr="005F7C7D">
        <w:rPr>
          <w:rFonts w:cs="Times New Roman"/>
          <w:lang w:val="en-GB"/>
        </w:rPr>
        <w:t>one organisations’ participatory approach</w:t>
      </w:r>
      <w:r>
        <w:rPr>
          <w:rFonts w:cs="Times New Roman"/>
          <w:lang w:val="en-GB"/>
        </w:rPr>
        <w:t>es not</w:t>
      </w:r>
      <w:r w:rsidRPr="005F7C7D">
        <w:rPr>
          <w:rFonts w:cs="Times New Roman"/>
          <w:lang w:val="en-GB"/>
        </w:rPr>
        <w:t xml:space="preserve"> hamper th</w:t>
      </w:r>
      <w:r>
        <w:rPr>
          <w:rFonts w:cs="Times New Roman"/>
          <w:lang w:val="en-GB"/>
        </w:rPr>
        <w:t xml:space="preserve">ose of </w:t>
      </w:r>
      <w:r w:rsidRPr="005F7C7D">
        <w:rPr>
          <w:rFonts w:cs="Times New Roman"/>
          <w:lang w:val="en-GB"/>
        </w:rPr>
        <w:t xml:space="preserve">another organisation? </w:t>
      </w:r>
    </w:p>
    <w:p w14:paraId="6CE766CD" w14:textId="77777777" w:rsidR="006B5CCD" w:rsidRPr="00875D99" w:rsidRDefault="006B5CCD" w:rsidP="006B5CCD">
      <w:pPr>
        <w:pStyle w:val="ListParagraph"/>
        <w:spacing w:after="200" w:line="276" w:lineRule="auto"/>
        <w:jc w:val="both"/>
        <w:rPr>
          <w:lang w:val="en-GB"/>
        </w:rPr>
      </w:pPr>
    </w:p>
    <w:p w14:paraId="045FB0F3" w14:textId="77777777" w:rsidR="006B5CCD" w:rsidRPr="008916E5" w:rsidRDefault="006B5CCD" w:rsidP="006B5CCD">
      <w:pPr>
        <w:pStyle w:val="ListParagraph"/>
        <w:numPr>
          <w:ilvl w:val="0"/>
          <w:numId w:val="9"/>
        </w:numPr>
        <w:spacing w:after="200" w:line="276" w:lineRule="auto"/>
        <w:jc w:val="both"/>
        <w:rPr>
          <w:lang w:val="en-GB"/>
        </w:rPr>
      </w:pPr>
      <w:r>
        <w:rPr>
          <w:b/>
          <w:lang w:val="en-GB"/>
        </w:rPr>
        <w:t>Balancing i</w:t>
      </w:r>
      <w:r w:rsidRPr="00CA46C7">
        <w:rPr>
          <w:b/>
          <w:lang w:val="en-GB"/>
        </w:rPr>
        <w:t>nputs from participation with expert knowledge</w:t>
      </w:r>
      <w:r>
        <w:rPr>
          <w:b/>
          <w:lang w:val="en-GB"/>
        </w:rPr>
        <w:t xml:space="preserve">: </w:t>
      </w:r>
      <w:r w:rsidRPr="008916E5">
        <w:rPr>
          <w:lang w:val="en-GB"/>
        </w:rPr>
        <w:t>This is essential as some needs may not be expressed by affected people, either because the needs relate to prevention or because of stigma attached, such as for ex. mental health.</w:t>
      </w:r>
    </w:p>
    <w:p w14:paraId="66141219" w14:textId="77777777" w:rsidR="006B5CCD" w:rsidRPr="00875D99" w:rsidRDefault="006B5CCD" w:rsidP="006B5CCD">
      <w:pPr>
        <w:pStyle w:val="ListParagraph"/>
        <w:jc w:val="both"/>
        <w:rPr>
          <w:rFonts w:cs="Times New Roman"/>
          <w:lang w:val="en-GB"/>
        </w:rPr>
      </w:pPr>
    </w:p>
    <w:p w14:paraId="2B072F49" w14:textId="77777777" w:rsidR="006B5CCD" w:rsidRPr="005F7C7D" w:rsidRDefault="006B5CCD" w:rsidP="006B5CCD">
      <w:pPr>
        <w:pStyle w:val="ListParagraph"/>
        <w:numPr>
          <w:ilvl w:val="0"/>
          <w:numId w:val="9"/>
        </w:numPr>
        <w:jc w:val="both"/>
        <w:rPr>
          <w:rFonts w:cs="Times New Roman"/>
          <w:lang w:val="en-GB"/>
        </w:rPr>
      </w:pPr>
      <w:r w:rsidRPr="005F7C7D">
        <w:rPr>
          <w:rFonts w:cs="Times New Roman"/>
          <w:b/>
          <w:lang w:val="en-GB"/>
        </w:rPr>
        <w:t xml:space="preserve">Partnership with refugee based and local organisations: </w:t>
      </w:r>
      <w:r w:rsidRPr="005F7C7D">
        <w:rPr>
          <w:rFonts w:cs="Times New Roman"/>
          <w:lang w:val="en-GB"/>
        </w:rPr>
        <w:t xml:space="preserve">Local and refugees based organisation have </w:t>
      </w:r>
      <w:r>
        <w:rPr>
          <w:rFonts w:cs="Times New Roman"/>
          <w:lang w:val="en-GB"/>
        </w:rPr>
        <w:t>important</w:t>
      </w:r>
      <w:r w:rsidRPr="005F7C7D">
        <w:rPr>
          <w:rFonts w:cs="Times New Roman"/>
          <w:lang w:val="en-GB"/>
        </w:rPr>
        <w:t xml:space="preserve"> added value in </w:t>
      </w:r>
      <w:r>
        <w:rPr>
          <w:rFonts w:cs="Times New Roman"/>
          <w:lang w:val="en-GB"/>
        </w:rPr>
        <w:t xml:space="preserve">terms of </w:t>
      </w:r>
      <w:r w:rsidRPr="005F7C7D">
        <w:rPr>
          <w:rFonts w:cs="Times New Roman"/>
          <w:lang w:val="en-GB"/>
        </w:rPr>
        <w:t>participation as they have local languages knowledge and better “cultural acces</w:t>
      </w:r>
      <w:r>
        <w:rPr>
          <w:rFonts w:cs="Times New Roman"/>
          <w:lang w:val="en-GB"/>
        </w:rPr>
        <w:t>s”, nevertheless:</w:t>
      </w:r>
    </w:p>
    <w:p w14:paraId="4DADD411" w14:textId="77777777" w:rsidR="006B5CCD" w:rsidRDefault="006B5CCD" w:rsidP="006B5CCD">
      <w:pPr>
        <w:pStyle w:val="ListParagraph"/>
        <w:numPr>
          <w:ilvl w:val="1"/>
          <w:numId w:val="9"/>
        </w:numPr>
        <w:spacing w:after="200" w:line="276" w:lineRule="auto"/>
        <w:jc w:val="both"/>
        <w:rPr>
          <w:lang w:val="en-GB"/>
        </w:rPr>
      </w:pPr>
      <w:r w:rsidRPr="00CA46C7">
        <w:rPr>
          <w:lang w:val="en-GB"/>
        </w:rPr>
        <w:t>Each INGO has its own set of participation related requirements which it then passes on to its partners</w:t>
      </w:r>
    </w:p>
    <w:p w14:paraId="20AD7422" w14:textId="77777777" w:rsidR="006B5CCD" w:rsidRPr="00CA46C7" w:rsidRDefault="006B5CCD" w:rsidP="006B5CCD">
      <w:pPr>
        <w:pStyle w:val="ListParagraph"/>
        <w:numPr>
          <w:ilvl w:val="1"/>
          <w:numId w:val="9"/>
        </w:numPr>
        <w:spacing w:after="200" w:line="276" w:lineRule="auto"/>
        <w:jc w:val="both"/>
        <w:rPr>
          <w:lang w:val="en-GB"/>
        </w:rPr>
      </w:pPr>
      <w:r>
        <w:rPr>
          <w:lang w:val="en-GB"/>
        </w:rPr>
        <w:t>Local organizations are not necessary integrated in all coordination mechanisms,</w:t>
      </w:r>
    </w:p>
    <w:p w14:paraId="595F9541" w14:textId="77777777" w:rsidR="006B5CCD" w:rsidRDefault="006B5CCD" w:rsidP="006B5CCD">
      <w:pPr>
        <w:rPr>
          <w:lang w:val="en-GB"/>
        </w:rPr>
      </w:pPr>
    </w:p>
    <w:p w14:paraId="42EDB90D" w14:textId="77777777" w:rsidR="006B5CCD" w:rsidRDefault="006B5CCD" w:rsidP="006B5CCD">
      <w:pPr>
        <w:spacing w:after="200" w:line="276" w:lineRule="auto"/>
        <w:rPr>
          <w:lang w:val="en-GB"/>
        </w:rPr>
      </w:pPr>
    </w:p>
    <w:p w14:paraId="34E10AC7" w14:textId="77777777" w:rsidR="006B5CCD" w:rsidRPr="00094196" w:rsidRDefault="006B5CCD" w:rsidP="006B5CCD">
      <w:pPr>
        <w:spacing w:after="200" w:line="276" w:lineRule="auto"/>
        <w:rPr>
          <w:lang w:val="en-GB"/>
        </w:rPr>
      </w:pPr>
    </w:p>
    <w:p w14:paraId="12FB6756" w14:textId="77777777" w:rsidR="002C1FE7" w:rsidRDefault="002C1FE7">
      <w:pPr>
        <w:rPr>
          <w:rFonts w:eastAsiaTheme="majorEastAsia" w:cs="Times New Roman"/>
          <w:b/>
          <w:sz w:val="24"/>
          <w:szCs w:val="20"/>
          <w:lang w:val="en-GB"/>
        </w:rPr>
      </w:pPr>
      <w:r>
        <w:rPr>
          <w:rFonts w:eastAsiaTheme="majorEastAsia"/>
          <w:bCs/>
          <w:sz w:val="24"/>
          <w:szCs w:val="20"/>
          <w:lang w:val="en-GB"/>
        </w:rPr>
        <w:br w:type="page"/>
      </w:r>
    </w:p>
    <w:p w14:paraId="787103A1" w14:textId="0D5F1027" w:rsidR="00F47897" w:rsidRPr="00F47897" w:rsidRDefault="00F47897" w:rsidP="00F47897">
      <w:pPr>
        <w:pStyle w:val="Heading1"/>
        <w:keepNext/>
        <w:keepLines/>
        <w:spacing w:before="240" w:beforeAutospacing="0" w:after="240" w:afterAutospacing="0" w:line="259" w:lineRule="auto"/>
        <w:rPr>
          <w:rFonts w:asciiTheme="minorHAnsi" w:eastAsiaTheme="majorEastAsia" w:hAnsiTheme="minorHAnsi"/>
          <w:bCs w:val="0"/>
          <w:kern w:val="0"/>
          <w:sz w:val="24"/>
          <w:szCs w:val="20"/>
          <w:lang w:val="en-GB" w:eastAsia="en-US"/>
        </w:rPr>
      </w:pPr>
      <w:r w:rsidRPr="000559FF">
        <w:rPr>
          <w:rFonts w:asciiTheme="minorHAnsi" w:eastAsiaTheme="majorEastAsia" w:hAnsiTheme="minorHAnsi"/>
          <w:bCs w:val="0"/>
          <w:kern w:val="0"/>
          <w:sz w:val="24"/>
          <w:szCs w:val="20"/>
          <w:lang w:val="en-GB" w:eastAsia="en-US"/>
        </w:rPr>
        <w:t xml:space="preserve">Annex </w:t>
      </w:r>
      <w:r>
        <w:rPr>
          <w:rFonts w:asciiTheme="minorHAnsi" w:eastAsiaTheme="majorEastAsia" w:hAnsiTheme="minorHAnsi"/>
          <w:bCs w:val="0"/>
          <w:kern w:val="0"/>
          <w:sz w:val="24"/>
          <w:szCs w:val="20"/>
          <w:lang w:val="en-GB" w:eastAsia="en-US"/>
        </w:rPr>
        <w:t>3</w:t>
      </w:r>
      <w:r w:rsidRPr="000559FF">
        <w:rPr>
          <w:rFonts w:asciiTheme="minorHAnsi" w:eastAsiaTheme="majorEastAsia" w:hAnsiTheme="minorHAnsi"/>
          <w:bCs w:val="0"/>
          <w:kern w:val="0"/>
          <w:sz w:val="24"/>
          <w:szCs w:val="20"/>
          <w:lang w:val="en-GB" w:eastAsia="en-US"/>
        </w:rPr>
        <w:t xml:space="preserve">: </w:t>
      </w:r>
      <w:r>
        <w:rPr>
          <w:rFonts w:asciiTheme="minorHAnsi" w:eastAsiaTheme="majorEastAsia" w:hAnsiTheme="minorHAnsi"/>
          <w:bCs w:val="0"/>
          <w:kern w:val="0"/>
          <w:sz w:val="24"/>
          <w:szCs w:val="20"/>
          <w:lang w:val="en-GB" w:eastAsia="en-US"/>
        </w:rPr>
        <w:t xml:space="preserve">Summary of main findings, </w:t>
      </w:r>
      <w:r w:rsidRPr="00F47897">
        <w:rPr>
          <w:rFonts w:asciiTheme="minorHAnsi" w:eastAsiaTheme="majorEastAsia" w:hAnsiTheme="minorHAnsi"/>
          <w:bCs w:val="0"/>
          <w:kern w:val="0"/>
          <w:sz w:val="24"/>
          <w:szCs w:val="20"/>
          <w:lang w:val="en-GB" w:eastAsia="en-US"/>
        </w:rPr>
        <w:t>SCHR Peer review in Kurdistan Region of Iraq -18-21 September 2017</w:t>
      </w:r>
    </w:p>
    <w:p w14:paraId="596EA2E8" w14:textId="206A54F7" w:rsidR="00F47897" w:rsidRPr="006B5CCD" w:rsidRDefault="002C1FE7" w:rsidP="00F47897">
      <w:pPr>
        <w:spacing w:after="0" w:line="240" w:lineRule="auto"/>
        <w:rPr>
          <w:b/>
          <w:sz w:val="24"/>
          <w:lang w:val="en-GB"/>
        </w:rPr>
      </w:pPr>
      <w:r w:rsidRPr="006B5CCD">
        <w:rPr>
          <w:b/>
          <w:sz w:val="24"/>
          <w:lang w:val="en-GB"/>
        </w:rPr>
        <w:t>Enablers</w:t>
      </w:r>
      <w:r w:rsidR="00F47897" w:rsidRPr="006B5CCD">
        <w:rPr>
          <w:b/>
          <w:sz w:val="24"/>
          <w:lang w:val="en-GB"/>
        </w:rPr>
        <w:t xml:space="preserve"> of </w:t>
      </w:r>
      <w:r w:rsidR="006B5CCD" w:rsidRPr="006B5CCD">
        <w:rPr>
          <w:b/>
          <w:sz w:val="24"/>
          <w:lang w:val="en-GB"/>
        </w:rPr>
        <w:t>participation:</w:t>
      </w:r>
      <w:r w:rsidR="00F47897" w:rsidRPr="006B5CCD">
        <w:rPr>
          <w:b/>
          <w:sz w:val="24"/>
          <w:lang w:val="en-GB"/>
        </w:rPr>
        <w:t xml:space="preserve"> </w:t>
      </w:r>
    </w:p>
    <w:p w14:paraId="6D6D530C" w14:textId="77777777" w:rsidR="00F47897" w:rsidRPr="00F47897" w:rsidRDefault="00F47897" w:rsidP="00F47897">
      <w:pPr>
        <w:spacing w:after="0" w:line="240" w:lineRule="auto"/>
        <w:rPr>
          <w:b/>
          <w:sz w:val="24"/>
        </w:rPr>
      </w:pPr>
    </w:p>
    <w:tbl>
      <w:tblPr>
        <w:tblStyle w:val="TableGrid"/>
        <w:tblW w:w="9180" w:type="dxa"/>
        <w:tblInd w:w="-113" w:type="dxa"/>
        <w:tblLook w:val="04A0" w:firstRow="1" w:lastRow="0" w:firstColumn="1" w:lastColumn="0" w:noHBand="0" w:noVBand="1"/>
      </w:tblPr>
      <w:tblGrid>
        <w:gridCol w:w="3192"/>
        <w:gridCol w:w="5988"/>
      </w:tblGrid>
      <w:tr w:rsidR="00F47897" w:rsidRPr="00F47897" w14:paraId="1A589B9E" w14:textId="77777777" w:rsidTr="00F47897">
        <w:tc>
          <w:tcPr>
            <w:tcW w:w="3192" w:type="dxa"/>
            <w:tcBorders>
              <w:bottom w:val="single" w:sz="4" w:space="0" w:color="auto"/>
            </w:tcBorders>
          </w:tcPr>
          <w:p w14:paraId="5123851B" w14:textId="4C00B867" w:rsidR="00F47897" w:rsidRPr="00F47897" w:rsidRDefault="002C1FE7" w:rsidP="00F47897">
            <w:pPr>
              <w:rPr>
                <w:b/>
                <w:sz w:val="24"/>
                <w:lang w:val="en-GB"/>
              </w:rPr>
            </w:pPr>
            <w:r>
              <w:rPr>
                <w:b/>
                <w:sz w:val="24"/>
                <w:lang w:val="en-GB"/>
              </w:rPr>
              <w:t xml:space="preserve">External to </w:t>
            </w:r>
            <w:r w:rsidR="00F47897" w:rsidRPr="00F47897">
              <w:rPr>
                <w:b/>
                <w:sz w:val="24"/>
                <w:lang w:val="en-GB"/>
              </w:rPr>
              <w:t>the organisation</w:t>
            </w:r>
          </w:p>
        </w:tc>
        <w:tc>
          <w:tcPr>
            <w:tcW w:w="5988" w:type="dxa"/>
            <w:tcBorders>
              <w:bottom w:val="single" w:sz="4" w:space="0" w:color="auto"/>
            </w:tcBorders>
          </w:tcPr>
          <w:p w14:paraId="5AB62FE7" w14:textId="77777777" w:rsidR="00F47897" w:rsidRPr="00F47897" w:rsidRDefault="00F47897" w:rsidP="00F47897">
            <w:pPr>
              <w:rPr>
                <w:b/>
                <w:sz w:val="24"/>
                <w:lang w:val="en-GB"/>
              </w:rPr>
            </w:pPr>
            <w:r w:rsidRPr="00F47897">
              <w:rPr>
                <w:b/>
                <w:sz w:val="24"/>
                <w:lang w:val="en-GB"/>
              </w:rPr>
              <w:t>Internal to the organisation</w:t>
            </w:r>
          </w:p>
        </w:tc>
      </w:tr>
      <w:tr w:rsidR="00F47897" w:rsidRPr="009C52C7" w14:paraId="13F45E67" w14:textId="77777777" w:rsidTr="00F47897">
        <w:tc>
          <w:tcPr>
            <w:tcW w:w="3192" w:type="dxa"/>
            <w:tcBorders>
              <w:bottom w:val="single" w:sz="4" w:space="0" w:color="auto"/>
            </w:tcBorders>
          </w:tcPr>
          <w:p w14:paraId="6247FF03" w14:textId="77777777" w:rsidR="00F47897" w:rsidRPr="00F47897" w:rsidRDefault="00F47897" w:rsidP="00F47897">
            <w:pPr>
              <w:spacing w:line="276" w:lineRule="auto"/>
              <w:ind w:left="720"/>
              <w:rPr>
                <w:lang w:val="en-GB"/>
              </w:rPr>
            </w:pPr>
          </w:p>
          <w:p w14:paraId="7F0EEF1A" w14:textId="77777777" w:rsidR="00F47897" w:rsidRPr="00F47897" w:rsidRDefault="00F47897" w:rsidP="00F47897">
            <w:pPr>
              <w:numPr>
                <w:ilvl w:val="0"/>
                <w:numId w:val="13"/>
              </w:numPr>
              <w:tabs>
                <w:tab w:val="clear" w:pos="720"/>
                <w:tab w:val="num" w:pos="360"/>
              </w:tabs>
              <w:spacing w:line="276" w:lineRule="auto"/>
              <w:ind w:left="360"/>
              <w:rPr>
                <w:lang w:val="en-GB"/>
              </w:rPr>
            </w:pPr>
            <w:r w:rsidRPr="00F47897">
              <w:rPr>
                <w:lang w:val="en-GB"/>
              </w:rPr>
              <w:t>Affected people have a sense of community and representation structures</w:t>
            </w:r>
          </w:p>
          <w:p w14:paraId="7AF7B08D" w14:textId="77777777" w:rsidR="00F47897" w:rsidRPr="00F47897" w:rsidRDefault="00F47897" w:rsidP="00F47897">
            <w:pPr>
              <w:pStyle w:val="ListParagraph"/>
              <w:numPr>
                <w:ilvl w:val="0"/>
                <w:numId w:val="13"/>
              </w:numPr>
              <w:tabs>
                <w:tab w:val="clear" w:pos="720"/>
                <w:tab w:val="num" w:pos="360"/>
              </w:tabs>
              <w:ind w:left="360"/>
              <w:rPr>
                <w:lang w:val="en-GB"/>
              </w:rPr>
            </w:pPr>
            <w:r w:rsidRPr="00F47897">
              <w:rPr>
                <w:lang w:val="en-GB"/>
              </w:rPr>
              <w:t>Government engagement and commitment</w:t>
            </w:r>
          </w:p>
          <w:p w14:paraId="0B3D1806" w14:textId="77777777" w:rsidR="00F47897" w:rsidRPr="00F47897" w:rsidRDefault="00F47897" w:rsidP="00F47897">
            <w:pPr>
              <w:numPr>
                <w:ilvl w:val="0"/>
                <w:numId w:val="13"/>
              </w:numPr>
              <w:tabs>
                <w:tab w:val="clear" w:pos="720"/>
                <w:tab w:val="num" w:pos="360"/>
              </w:tabs>
              <w:ind w:left="360"/>
              <w:rPr>
                <w:lang w:val="en-GB"/>
              </w:rPr>
            </w:pPr>
            <w:r w:rsidRPr="00F47897">
              <w:rPr>
                <w:lang w:val="en-GB"/>
              </w:rPr>
              <w:t>Flexible donors and donor continuity</w:t>
            </w:r>
          </w:p>
          <w:p w14:paraId="41CF48F7" w14:textId="77777777" w:rsidR="00F47897" w:rsidRPr="00F47897" w:rsidRDefault="00F47897" w:rsidP="00F47897">
            <w:pPr>
              <w:numPr>
                <w:ilvl w:val="0"/>
                <w:numId w:val="13"/>
              </w:numPr>
              <w:tabs>
                <w:tab w:val="clear" w:pos="720"/>
                <w:tab w:val="num" w:pos="360"/>
              </w:tabs>
              <w:spacing w:line="276" w:lineRule="auto"/>
              <w:ind w:left="360"/>
              <w:rPr>
                <w:lang w:val="en-GB"/>
              </w:rPr>
            </w:pPr>
            <w:r w:rsidRPr="00F47897">
              <w:rPr>
                <w:lang w:val="en-GB"/>
              </w:rPr>
              <w:t>Affected people have experience of engaging with humanitarian actors</w:t>
            </w:r>
          </w:p>
          <w:p w14:paraId="4D54B676" w14:textId="77777777" w:rsidR="00F47897" w:rsidRPr="00F47897" w:rsidRDefault="00F47897" w:rsidP="00F47897">
            <w:pPr>
              <w:spacing w:line="276" w:lineRule="auto"/>
              <w:rPr>
                <w:lang w:val="en-GB"/>
              </w:rPr>
            </w:pPr>
          </w:p>
          <w:p w14:paraId="45E8BC5C" w14:textId="77777777" w:rsidR="00F47897" w:rsidRPr="00F47897" w:rsidRDefault="00F47897" w:rsidP="00F47897">
            <w:pPr>
              <w:spacing w:line="276" w:lineRule="auto"/>
              <w:rPr>
                <w:lang w:val="en-GB"/>
              </w:rPr>
            </w:pPr>
          </w:p>
        </w:tc>
        <w:tc>
          <w:tcPr>
            <w:tcW w:w="5988" w:type="dxa"/>
            <w:tcBorders>
              <w:bottom w:val="single" w:sz="4" w:space="0" w:color="auto"/>
            </w:tcBorders>
          </w:tcPr>
          <w:p w14:paraId="0C8EFA0E" w14:textId="77777777" w:rsidR="00F47897" w:rsidRPr="00F47897" w:rsidRDefault="00F47897" w:rsidP="00F47897">
            <w:pPr>
              <w:ind w:left="720"/>
              <w:rPr>
                <w:lang w:val="en-GB"/>
              </w:rPr>
            </w:pPr>
          </w:p>
          <w:p w14:paraId="641B9C63" w14:textId="77777777" w:rsidR="00F47897" w:rsidRPr="00F47897" w:rsidRDefault="00F47897" w:rsidP="00F47897">
            <w:pPr>
              <w:numPr>
                <w:ilvl w:val="0"/>
                <w:numId w:val="13"/>
              </w:numPr>
              <w:tabs>
                <w:tab w:val="clear" w:pos="720"/>
                <w:tab w:val="num" w:pos="360"/>
              </w:tabs>
              <w:ind w:left="360"/>
              <w:rPr>
                <w:lang w:val="en-GB"/>
              </w:rPr>
            </w:pPr>
            <w:r w:rsidRPr="00F47897">
              <w:rPr>
                <w:lang w:val="en-GB"/>
              </w:rPr>
              <w:t>Capacity to respond to input from affected people</w:t>
            </w:r>
          </w:p>
          <w:p w14:paraId="124B6FBD" w14:textId="77777777" w:rsidR="00F47897" w:rsidRPr="00F47897" w:rsidRDefault="00F47897" w:rsidP="00F47897">
            <w:pPr>
              <w:numPr>
                <w:ilvl w:val="0"/>
                <w:numId w:val="13"/>
              </w:numPr>
              <w:tabs>
                <w:tab w:val="clear" w:pos="720"/>
                <w:tab w:val="num" w:pos="360"/>
              </w:tabs>
              <w:ind w:left="360"/>
              <w:rPr>
                <w:lang w:val="en-GB"/>
              </w:rPr>
            </w:pPr>
            <w:r w:rsidRPr="00F47897">
              <w:rPr>
                <w:lang w:val="en-GB"/>
              </w:rPr>
              <w:t>Holistic versus sectoral resources</w:t>
            </w:r>
          </w:p>
          <w:p w14:paraId="730A5D1B" w14:textId="77777777" w:rsidR="00F47897" w:rsidRPr="00F47897" w:rsidRDefault="00F47897" w:rsidP="00F47897">
            <w:pPr>
              <w:numPr>
                <w:ilvl w:val="0"/>
                <w:numId w:val="13"/>
              </w:numPr>
              <w:tabs>
                <w:tab w:val="clear" w:pos="720"/>
                <w:tab w:val="num" w:pos="360"/>
              </w:tabs>
              <w:ind w:left="360"/>
              <w:rPr>
                <w:lang w:val="en-GB"/>
              </w:rPr>
            </w:pPr>
            <w:r w:rsidRPr="00F47897">
              <w:rPr>
                <w:lang w:val="en-GB"/>
              </w:rPr>
              <w:t>Protection as a cross-cutting community-based approach to identify and meet the needs of affected pop.</w:t>
            </w:r>
          </w:p>
          <w:p w14:paraId="6FA2BE88" w14:textId="77777777" w:rsidR="00F47897" w:rsidRPr="00F47897" w:rsidRDefault="00F47897" w:rsidP="00F47897">
            <w:pPr>
              <w:numPr>
                <w:ilvl w:val="0"/>
                <w:numId w:val="13"/>
              </w:numPr>
              <w:tabs>
                <w:tab w:val="clear" w:pos="720"/>
                <w:tab w:val="num" w:pos="360"/>
              </w:tabs>
              <w:ind w:left="360"/>
              <w:rPr>
                <w:lang w:val="en-GB"/>
              </w:rPr>
            </w:pPr>
            <w:r w:rsidRPr="00F47897">
              <w:rPr>
                <w:lang w:val="en-GB"/>
              </w:rPr>
              <w:t>Strategic partnerships versus transactional partnerships.</w:t>
            </w:r>
          </w:p>
          <w:p w14:paraId="51744CA2" w14:textId="77777777" w:rsidR="00F47897" w:rsidRPr="00F47897" w:rsidRDefault="00F47897" w:rsidP="00F47897">
            <w:pPr>
              <w:numPr>
                <w:ilvl w:val="0"/>
                <w:numId w:val="13"/>
              </w:numPr>
              <w:tabs>
                <w:tab w:val="clear" w:pos="720"/>
                <w:tab w:val="num" w:pos="360"/>
              </w:tabs>
              <w:ind w:left="360"/>
              <w:rPr>
                <w:lang w:val="en-GB"/>
              </w:rPr>
            </w:pPr>
            <w:r w:rsidRPr="00F47897">
              <w:rPr>
                <w:lang w:val="en-GB"/>
              </w:rPr>
              <w:t>Cash as a means of giving more choice/options to affected people</w:t>
            </w:r>
          </w:p>
          <w:p w14:paraId="75ACCBF9" w14:textId="77777777" w:rsidR="00F47897" w:rsidRPr="00F47897" w:rsidRDefault="00F47897" w:rsidP="00F47897">
            <w:pPr>
              <w:numPr>
                <w:ilvl w:val="0"/>
                <w:numId w:val="13"/>
              </w:numPr>
              <w:tabs>
                <w:tab w:val="clear" w:pos="720"/>
              </w:tabs>
              <w:ind w:left="360"/>
              <w:rPr>
                <w:lang w:val="en-GB"/>
              </w:rPr>
            </w:pPr>
            <w:r w:rsidRPr="00F47897">
              <w:rPr>
                <w:lang w:val="en-GB"/>
              </w:rPr>
              <w:t>Organization's intent, mechanism and tools and investment (ex. In training)</w:t>
            </w:r>
          </w:p>
          <w:p w14:paraId="011A0998" w14:textId="77777777" w:rsidR="00F47897" w:rsidRPr="00F47897" w:rsidRDefault="00F47897" w:rsidP="00F47897">
            <w:pPr>
              <w:numPr>
                <w:ilvl w:val="0"/>
                <w:numId w:val="13"/>
              </w:numPr>
              <w:tabs>
                <w:tab w:val="clear" w:pos="720"/>
              </w:tabs>
              <w:ind w:left="360"/>
              <w:rPr>
                <w:lang w:val="en-GB"/>
              </w:rPr>
            </w:pPr>
            <w:r w:rsidRPr="00F47897">
              <w:rPr>
                <w:lang w:val="en-GB"/>
              </w:rPr>
              <w:t>Good coordination / cross agency collaboration</w:t>
            </w:r>
          </w:p>
          <w:p w14:paraId="5EEEC2B1" w14:textId="77777777" w:rsidR="00F47897" w:rsidRPr="00F47897" w:rsidRDefault="00F47897" w:rsidP="00F47897">
            <w:pPr>
              <w:numPr>
                <w:ilvl w:val="0"/>
                <w:numId w:val="13"/>
              </w:numPr>
              <w:tabs>
                <w:tab w:val="clear" w:pos="720"/>
              </w:tabs>
              <w:ind w:left="360"/>
              <w:rPr>
                <w:lang w:val="en-GB"/>
              </w:rPr>
            </w:pPr>
            <w:r w:rsidRPr="00F47897">
              <w:rPr>
                <w:lang w:val="en-GB"/>
              </w:rPr>
              <w:t>National staff and partners with local knowledge and access</w:t>
            </w:r>
          </w:p>
          <w:p w14:paraId="5D9E10B9" w14:textId="693D656D" w:rsidR="00F47897" w:rsidRPr="00F47897" w:rsidRDefault="00F47897" w:rsidP="00F47897">
            <w:pPr>
              <w:numPr>
                <w:ilvl w:val="0"/>
                <w:numId w:val="13"/>
              </w:numPr>
              <w:tabs>
                <w:tab w:val="clear" w:pos="720"/>
                <w:tab w:val="num" w:pos="360"/>
              </w:tabs>
              <w:ind w:left="360"/>
              <w:rPr>
                <w:lang w:val="en-GB"/>
              </w:rPr>
            </w:pPr>
            <w:r w:rsidRPr="00F47897">
              <w:rPr>
                <w:lang w:val="en-GB"/>
              </w:rPr>
              <w:t>Access &amp; interaction with different voices within affected communities</w:t>
            </w:r>
          </w:p>
        </w:tc>
      </w:tr>
    </w:tbl>
    <w:p w14:paraId="3A17BF79" w14:textId="77777777" w:rsidR="00F47897" w:rsidRPr="001A3B7D" w:rsidRDefault="00F47897">
      <w:pPr>
        <w:rPr>
          <w:lang w:val="en-GB"/>
        </w:rPr>
      </w:pPr>
    </w:p>
    <w:p w14:paraId="373E2D5A" w14:textId="333F8D1F" w:rsidR="002C1FE7" w:rsidRDefault="004F3BD3">
      <w:pPr>
        <w:rPr>
          <w:b/>
          <w:sz w:val="24"/>
        </w:rPr>
      </w:pPr>
      <w:r>
        <w:rPr>
          <w:b/>
          <w:sz w:val="24"/>
        </w:rPr>
        <w:t>Disenablers</w:t>
      </w:r>
      <w:r w:rsidR="00F47897">
        <w:rPr>
          <w:b/>
          <w:sz w:val="24"/>
        </w:rPr>
        <w:t xml:space="preserve"> of participation :</w:t>
      </w:r>
    </w:p>
    <w:tbl>
      <w:tblPr>
        <w:tblStyle w:val="TableGrid"/>
        <w:tblW w:w="9180" w:type="dxa"/>
        <w:tblInd w:w="-113" w:type="dxa"/>
        <w:tblLook w:val="04A0" w:firstRow="1" w:lastRow="0" w:firstColumn="1" w:lastColumn="0" w:noHBand="0" w:noVBand="1"/>
      </w:tblPr>
      <w:tblGrid>
        <w:gridCol w:w="5920"/>
        <w:gridCol w:w="3260"/>
      </w:tblGrid>
      <w:tr w:rsidR="002C1FE7" w:rsidRPr="002C1FE7" w14:paraId="0F01ED08" w14:textId="77777777" w:rsidTr="002C1FE7">
        <w:tc>
          <w:tcPr>
            <w:tcW w:w="5920" w:type="dxa"/>
            <w:tcBorders>
              <w:top w:val="single" w:sz="4" w:space="0" w:color="auto"/>
            </w:tcBorders>
          </w:tcPr>
          <w:p w14:paraId="0B4439C8" w14:textId="321091F9" w:rsidR="002C1FE7" w:rsidRPr="002C1FE7" w:rsidRDefault="002C1FE7" w:rsidP="00706849">
            <w:pPr>
              <w:rPr>
                <w:b/>
                <w:sz w:val="24"/>
                <w:lang w:val="en-GB"/>
              </w:rPr>
            </w:pPr>
            <w:r w:rsidRPr="002C1FE7">
              <w:rPr>
                <w:b/>
                <w:sz w:val="24"/>
                <w:lang w:val="en-GB"/>
              </w:rPr>
              <w:t>External</w:t>
            </w:r>
            <w:r>
              <w:rPr>
                <w:b/>
                <w:sz w:val="24"/>
                <w:lang w:val="en-GB"/>
              </w:rPr>
              <w:t xml:space="preserve"> to the organisation</w:t>
            </w:r>
          </w:p>
        </w:tc>
        <w:tc>
          <w:tcPr>
            <w:tcW w:w="3260" w:type="dxa"/>
            <w:tcBorders>
              <w:top w:val="single" w:sz="4" w:space="0" w:color="auto"/>
            </w:tcBorders>
          </w:tcPr>
          <w:p w14:paraId="53697031" w14:textId="65CE14AB" w:rsidR="002C1FE7" w:rsidRPr="002C1FE7" w:rsidRDefault="002C1FE7" w:rsidP="00706849">
            <w:pPr>
              <w:rPr>
                <w:b/>
                <w:sz w:val="24"/>
                <w:lang w:val="en-GB"/>
              </w:rPr>
            </w:pPr>
            <w:r w:rsidRPr="002C1FE7">
              <w:rPr>
                <w:b/>
                <w:sz w:val="24"/>
                <w:lang w:val="en-GB"/>
              </w:rPr>
              <w:t>Internal</w:t>
            </w:r>
            <w:r>
              <w:rPr>
                <w:b/>
                <w:sz w:val="24"/>
                <w:lang w:val="en-GB"/>
              </w:rPr>
              <w:t xml:space="preserve"> to the organisation</w:t>
            </w:r>
          </w:p>
        </w:tc>
      </w:tr>
      <w:tr w:rsidR="002C1FE7" w:rsidRPr="009C52C7" w14:paraId="78AE7AA8" w14:textId="77777777" w:rsidTr="002C1FE7">
        <w:tc>
          <w:tcPr>
            <w:tcW w:w="5920" w:type="dxa"/>
            <w:tcBorders>
              <w:bottom w:val="single" w:sz="4" w:space="0" w:color="auto"/>
            </w:tcBorders>
          </w:tcPr>
          <w:p w14:paraId="57EF0E97" w14:textId="77777777" w:rsidR="002C1FE7" w:rsidRPr="00EF62BB" w:rsidRDefault="002C1FE7" w:rsidP="00706849">
            <w:pPr>
              <w:ind w:left="720"/>
            </w:pPr>
          </w:p>
          <w:p w14:paraId="090FAA06" w14:textId="77777777" w:rsidR="002C1FE7" w:rsidRPr="00F47897" w:rsidRDefault="002C1FE7" w:rsidP="00706849">
            <w:pPr>
              <w:numPr>
                <w:ilvl w:val="0"/>
                <w:numId w:val="24"/>
              </w:numPr>
              <w:rPr>
                <w:lang w:val="en-GB"/>
              </w:rPr>
            </w:pPr>
            <w:r w:rsidRPr="00E05673">
              <w:rPr>
                <w:lang w:val="en-US"/>
              </w:rPr>
              <w:t>Hierarchical top down practice of governance</w:t>
            </w:r>
          </w:p>
          <w:p w14:paraId="38FA62A0" w14:textId="77777777" w:rsidR="002C1FE7" w:rsidRPr="00F47897" w:rsidRDefault="002C1FE7" w:rsidP="00706849">
            <w:pPr>
              <w:numPr>
                <w:ilvl w:val="0"/>
                <w:numId w:val="24"/>
              </w:numPr>
              <w:rPr>
                <w:lang w:val="en-GB"/>
              </w:rPr>
            </w:pPr>
            <w:r>
              <w:rPr>
                <w:lang w:val="en-US"/>
              </w:rPr>
              <w:t>Lack of w</w:t>
            </w:r>
            <w:r w:rsidRPr="00E05673">
              <w:rPr>
                <w:lang w:val="en-US"/>
              </w:rPr>
              <w:t>omen’s voice and influence in public space</w:t>
            </w:r>
          </w:p>
          <w:p w14:paraId="78A661AC" w14:textId="77777777" w:rsidR="002C1FE7" w:rsidRPr="00F47897" w:rsidRDefault="002C1FE7" w:rsidP="00706849">
            <w:pPr>
              <w:numPr>
                <w:ilvl w:val="0"/>
                <w:numId w:val="24"/>
              </w:numPr>
              <w:rPr>
                <w:lang w:val="en-GB"/>
              </w:rPr>
            </w:pPr>
            <w:r w:rsidRPr="00E05673">
              <w:rPr>
                <w:lang w:val="en-US"/>
              </w:rPr>
              <w:t>Tension between participation of affected people and participation of government.</w:t>
            </w:r>
          </w:p>
          <w:p w14:paraId="21FE039D" w14:textId="77777777" w:rsidR="002C1FE7" w:rsidRPr="00E05673" w:rsidRDefault="002C1FE7" w:rsidP="00706849">
            <w:pPr>
              <w:numPr>
                <w:ilvl w:val="0"/>
                <w:numId w:val="24"/>
              </w:numPr>
            </w:pPr>
            <w:r>
              <w:rPr>
                <w:lang w:val="en-US"/>
              </w:rPr>
              <w:t>Security/access</w:t>
            </w:r>
          </w:p>
          <w:p w14:paraId="28DD68E4" w14:textId="77777777" w:rsidR="002C1FE7" w:rsidRPr="00F47897" w:rsidRDefault="002C1FE7" w:rsidP="00706849">
            <w:pPr>
              <w:numPr>
                <w:ilvl w:val="0"/>
                <w:numId w:val="24"/>
              </w:numPr>
              <w:tabs>
                <w:tab w:val="clear" w:pos="360"/>
              </w:tabs>
              <w:rPr>
                <w:lang w:val="en-GB"/>
              </w:rPr>
            </w:pPr>
            <w:r w:rsidRPr="00E05673">
              <w:rPr>
                <w:lang w:val="en-US"/>
              </w:rPr>
              <w:t>Centralisation of decision making (UN Agencies, Clusters, Government, etc…)</w:t>
            </w:r>
          </w:p>
          <w:p w14:paraId="510DB7E9" w14:textId="77777777" w:rsidR="002C1FE7" w:rsidRPr="00F47897" w:rsidRDefault="002C1FE7" w:rsidP="00706849">
            <w:pPr>
              <w:numPr>
                <w:ilvl w:val="0"/>
                <w:numId w:val="24"/>
              </w:numPr>
              <w:tabs>
                <w:tab w:val="clear" w:pos="360"/>
              </w:tabs>
              <w:rPr>
                <w:lang w:val="en-GB"/>
              </w:rPr>
            </w:pPr>
            <w:r w:rsidRPr="00E05673">
              <w:rPr>
                <w:lang w:val="en-US"/>
              </w:rPr>
              <w:t>C</w:t>
            </w:r>
            <w:r>
              <w:rPr>
                <w:lang w:val="en-US"/>
              </w:rPr>
              <w:t>o</w:t>
            </w:r>
            <w:r w:rsidRPr="00E05673">
              <w:rPr>
                <w:lang w:val="en-US"/>
              </w:rPr>
              <w:t>mpetition for resources across sectors</w:t>
            </w:r>
            <w:r>
              <w:rPr>
                <w:lang w:val="en-US"/>
              </w:rPr>
              <w:t xml:space="preserve"> and organisations</w:t>
            </w:r>
          </w:p>
          <w:p w14:paraId="1655519E" w14:textId="77777777" w:rsidR="002C1FE7" w:rsidRPr="00E05673" w:rsidRDefault="002C1FE7" w:rsidP="00706849">
            <w:pPr>
              <w:numPr>
                <w:ilvl w:val="0"/>
                <w:numId w:val="24"/>
              </w:numPr>
              <w:tabs>
                <w:tab w:val="clear" w:pos="360"/>
              </w:tabs>
            </w:pPr>
            <w:r>
              <w:rPr>
                <w:lang w:val="en-US"/>
              </w:rPr>
              <w:t>Security/access</w:t>
            </w:r>
          </w:p>
          <w:p w14:paraId="6228EA6C" w14:textId="77777777" w:rsidR="002C1FE7" w:rsidRPr="00F47897" w:rsidRDefault="002C1FE7" w:rsidP="00706849">
            <w:pPr>
              <w:numPr>
                <w:ilvl w:val="0"/>
                <w:numId w:val="24"/>
              </w:numPr>
              <w:tabs>
                <w:tab w:val="clear" w:pos="360"/>
              </w:tabs>
              <w:rPr>
                <w:lang w:val="en-GB"/>
              </w:rPr>
            </w:pPr>
            <w:r w:rsidRPr="00E05673">
              <w:rPr>
                <w:lang w:val="en-US"/>
              </w:rPr>
              <w:t>Targets, indicators focus on numbers of beneficiaries, cost per ben</w:t>
            </w:r>
            <w:r>
              <w:rPr>
                <w:lang w:val="en-US"/>
              </w:rPr>
              <w:t>eficiary, etc.</w:t>
            </w:r>
          </w:p>
          <w:p w14:paraId="56B60AC6" w14:textId="77777777" w:rsidR="002C1FE7" w:rsidRPr="00F47897" w:rsidRDefault="002C1FE7" w:rsidP="00706849">
            <w:pPr>
              <w:numPr>
                <w:ilvl w:val="0"/>
                <w:numId w:val="24"/>
              </w:numPr>
              <w:rPr>
                <w:lang w:val="en-GB"/>
              </w:rPr>
            </w:pPr>
            <w:r w:rsidRPr="00E05673">
              <w:rPr>
                <w:lang w:val="en-US"/>
              </w:rPr>
              <w:t>Focus is on areas which are accessible, resourced and provide visibility rather than on areas where needs are highest</w:t>
            </w:r>
            <w:r>
              <w:rPr>
                <w:lang w:val="en-US"/>
              </w:rPr>
              <w:t xml:space="preserve"> (principle of impartiality)</w:t>
            </w:r>
          </w:p>
          <w:p w14:paraId="20C82A18" w14:textId="77777777" w:rsidR="002C1FE7" w:rsidRPr="005D4063" w:rsidRDefault="002C1FE7" w:rsidP="00706849">
            <w:pPr>
              <w:numPr>
                <w:ilvl w:val="0"/>
                <w:numId w:val="24"/>
              </w:numPr>
              <w:tabs>
                <w:tab w:val="clear" w:pos="360"/>
              </w:tabs>
            </w:pPr>
            <w:r>
              <w:rPr>
                <w:lang w:val="en-US"/>
              </w:rPr>
              <w:t>Short term and unpredictable funding</w:t>
            </w:r>
          </w:p>
          <w:p w14:paraId="3A039E3B" w14:textId="77777777" w:rsidR="002C1FE7" w:rsidRPr="002D07EA" w:rsidRDefault="002C1FE7" w:rsidP="00706849">
            <w:pPr>
              <w:numPr>
                <w:ilvl w:val="0"/>
                <w:numId w:val="24"/>
              </w:numPr>
            </w:pPr>
            <w:r w:rsidRPr="008658AD">
              <w:rPr>
                <w:lang w:val="en-US"/>
              </w:rPr>
              <w:t>Insufficient funding</w:t>
            </w:r>
          </w:p>
          <w:p w14:paraId="37DA0A29" w14:textId="77777777" w:rsidR="002C1FE7" w:rsidRPr="00F47897" w:rsidRDefault="002C1FE7" w:rsidP="00706849">
            <w:pPr>
              <w:numPr>
                <w:ilvl w:val="0"/>
                <w:numId w:val="24"/>
              </w:numPr>
              <w:tabs>
                <w:tab w:val="clear" w:pos="360"/>
              </w:tabs>
              <w:rPr>
                <w:lang w:val="en-GB"/>
              </w:rPr>
            </w:pPr>
            <w:r>
              <w:rPr>
                <w:lang w:val="en-US"/>
              </w:rPr>
              <w:t>Donors do not cover participation related costs as a stand-alone: funding of participation is projectised</w:t>
            </w:r>
          </w:p>
          <w:p w14:paraId="42C4A0BC" w14:textId="77777777" w:rsidR="002C1FE7" w:rsidRPr="00D372EE" w:rsidRDefault="002C1FE7" w:rsidP="00706849">
            <w:pPr>
              <w:ind w:left="720"/>
              <w:rPr>
                <w:lang w:val="en-US"/>
              </w:rPr>
            </w:pPr>
          </w:p>
        </w:tc>
        <w:tc>
          <w:tcPr>
            <w:tcW w:w="3260" w:type="dxa"/>
            <w:tcBorders>
              <w:bottom w:val="single" w:sz="4" w:space="0" w:color="auto"/>
            </w:tcBorders>
          </w:tcPr>
          <w:p w14:paraId="0C571DF9" w14:textId="77777777" w:rsidR="002C1FE7" w:rsidRPr="00F47897" w:rsidRDefault="002C1FE7" w:rsidP="00706849">
            <w:pPr>
              <w:ind w:left="720"/>
              <w:rPr>
                <w:lang w:val="en-GB"/>
              </w:rPr>
            </w:pPr>
          </w:p>
          <w:p w14:paraId="05258C7D" w14:textId="77777777" w:rsidR="002C1FE7" w:rsidRPr="00E05673" w:rsidRDefault="002C1FE7" w:rsidP="00706849">
            <w:pPr>
              <w:numPr>
                <w:ilvl w:val="0"/>
                <w:numId w:val="16"/>
              </w:numPr>
              <w:tabs>
                <w:tab w:val="clear" w:pos="360"/>
              </w:tabs>
            </w:pPr>
            <w:r w:rsidRPr="00E05673">
              <w:rPr>
                <w:lang w:val="en-US"/>
              </w:rPr>
              <w:t>Sectoralisaton across the project cycle</w:t>
            </w:r>
          </w:p>
          <w:p w14:paraId="0C8B3F47" w14:textId="77777777" w:rsidR="002C1FE7" w:rsidRPr="002D07EA" w:rsidRDefault="002C1FE7" w:rsidP="00706849">
            <w:pPr>
              <w:numPr>
                <w:ilvl w:val="0"/>
                <w:numId w:val="16"/>
              </w:numPr>
            </w:pPr>
            <w:r w:rsidRPr="00E05673">
              <w:rPr>
                <w:lang w:val="en-US"/>
              </w:rPr>
              <w:t>Sectoralisation of funding and resourcing</w:t>
            </w:r>
          </w:p>
          <w:p w14:paraId="55072C2E" w14:textId="77777777" w:rsidR="002C1FE7" w:rsidRPr="00F47897" w:rsidRDefault="002C1FE7" w:rsidP="00706849">
            <w:pPr>
              <w:numPr>
                <w:ilvl w:val="0"/>
                <w:numId w:val="16"/>
              </w:numPr>
              <w:rPr>
                <w:lang w:val="en-GB"/>
              </w:rPr>
            </w:pPr>
            <w:r w:rsidRPr="002D07EA">
              <w:rPr>
                <w:lang w:val="en-US"/>
              </w:rPr>
              <w:t>Decision – making mechanisms and processes (grant management, allocation of resources, selection of beneficiaries, etc.)</w:t>
            </w:r>
          </w:p>
          <w:p w14:paraId="0F36D30E" w14:textId="77777777" w:rsidR="002C1FE7" w:rsidRPr="00F47897" w:rsidRDefault="002C1FE7" w:rsidP="00706849">
            <w:pPr>
              <w:numPr>
                <w:ilvl w:val="0"/>
                <w:numId w:val="16"/>
              </w:numPr>
              <w:rPr>
                <w:lang w:val="en-GB"/>
              </w:rPr>
            </w:pPr>
            <w:r>
              <w:rPr>
                <w:lang w:val="en-US"/>
              </w:rPr>
              <w:t>Participation related reporting requirements (internal and external)</w:t>
            </w:r>
          </w:p>
          <w:p w14:paraId="7BAB60D3" w14:textId="77777777" w:rsidR="002C1FE7" w:rsidRPr="005949E6" w:rsidRDefault="002C1FE7" w:rsidP="00706849">
            <w:pPr>
              <w:ind w:left="720"/>
              <w:rPr>
                <w:lang w:val="en-US"/>
              </w:rPr>
            </w:pPr>
          </w:p>
        </w:tc>
      </w:tr>
    </w:tbl>
    <w:p w14:paraId="58A4708C" w14:textId="77777777" w:rsidR="002C1FE7" w:rsidRDefault="002C1FE7" w:rsidP="002C1FE7">
      <w:pPr>
        <w:spacing w:after="0"/>
        <w:rPr>
          <w:rFonts w:cs="Times New Roman"/>
          <w:b/>
          <w:lang w:val="en-GB"/>
        </w:rPr>
      </w:pPr>
    </w:p>
    <w:p w14:paraId="342E030F" w14:textId="77777777" w:rsidR="002C1FE7" w:rsidRDefault="002C1FE7" w:rsidP="00F47897">
      <w:pPr>
        <w:rPr>
          <w:rFonts w:cs="Times New Roman"/>
          <w:b/>
          <w:lang w:val="en-GB"/>
        </w:rPr>
      </w:pPr>
    </w:p>
    <w:p w14:paraId="7CA4DC6F" w14:textId="77777777" w:rsidR="002C1FE7" w:rsidRDefault="002C1FE7" w:rsidP="00F47897">
      <w:pPr>
        <w:rPr>
          <w:rFonts w:cs="Times New Roman"/>
          <w:b/>
          <w:lang w:val="en-GB"/>
        </w:rPr>
      </w:pPr>
    </w:p>
    <w:p w14:paraId="6CEB1544" w14:textId="77777777" w:rsidR="002C1FE7" w:rsidRDefault="002C1FE7" w:rsidP="00F47897">
      <w:pPr>
        <w:rPr>
          <w:rFonts w:cs="Times New Roman"/>
          <w:b/>
          <w:lang w:val="en-GB"/>
        </w:rPr>
      </w:pPr>
    </w:p>
    <w:p w14:paraId="2997ABD1" w14:textId="297AF3E3" w:rsidR="00F47897" w:rsidRPr="007E227E" w:rsidRDefault="00F47897" w:rsidP="00F47897">
      <w:pPr>
        <w:rPr>
          <w:rFonts w:cs="Times New Roman"/>
          <w:b/>
          <w:lang w:val="en-GB"/>
        </w:rPr>
      </w:pPr>
      <w:r>
        <w:rPr>
          <w:rFonts w:cs="Times New Roman"/>
          <w:b/>
          <w:lang w:val="en-GB"/>
        </w:rPr>
        <w:t>QUESTIONS / ISSUES IDENTIFIED</w:t>
      </w:r>
      <w:r w:rsidRPr="007E227E">
        <w:rPr>
          <w:rFonts w:cs="Times New Roman"/>
          <w:b/>
          <w:lang w:val="en-GB"/>
        </w:rPr>
        <w:t xml:space="preserve"> </w:t>
      </w:r>
    </w:p>
    <w:p w14:paraId="3AA730C4" w14:textId="77777777" w:rsidR="00F47897" w:rsidRPr="00F97C6F" w:rsidRDefault="00F47897" w:rsidP="00F47897">
      <w:pPr>
        <w:pStyle w:val="ListParagraph"/>
        <w:numPr>
          <w:ilvl w:val="0"/>
          <w:numId w:val="7"/>
        </w:numPr>
        <w:spacing w:after="200" w:line="276" w:lineRule="auto"/>
        <w:jc w:val="both"/>
        <w:rPr>
          <w:b/>
          <w:lang w:val="en-GB"/>
        </w:rPr>
      </w:pPr>
      <w:r w:rsidRPr="00F97C6F">
        <w:rPr>
          <w:b/>
          <w:lang w:val="en-GB"/>
        </w:rPr>
        <w:t xml:space="preserve">No common understanding of participation and its purpose: </w:t>
      </w:r>
      <w:r w:rsidRPr="00F97C6F">
        <w:rPr>
          <w:lang w:val="en-GB"/>
        </w:rPr>
        <w:t xml:space="preserve">There isn’t a shared vision of what participation is supposed to achieve. Participation is initiated by humanitarian organisations, to serve their programmatic purposes, it does not capture affected people’s aspirations. </w:t>
      </w:r>
    </w:p>
    <w:p w14:paraId="3B069FC0" w14:textId="77777777" w:rsidR="00F47897" w:rsidRPr="00F97C6F" w:rsidRDefault="00F47897" w:rsidP="00F47897">
      <w:pPr>
        <w:pStyle w:val="ListParagraph"/>
        <w:spacing w:after="200" w:line="276" w:lineRule="auto"/>
        <w:jc w:val="both"/>
        <w:rPr>
          <w:b/>
          <w:lang w:val="en-GB"/>
        </w:rPr>
      </w:pPr>
    </w:p>
    <w:p w14:paraId="082B6CB5" w14:textId="77777777" w:rsidR="00F47897" w:rsidRPr="000527FD" w:rsidRDefault="00F47897" w:rsidP="00F47897">
      <w:pPr>
        <w:pStyle w:val="ListParagraph"/>
        <w:numPr>
          <w:ilvl w:val="0"/>
          <w:numId w:val="8"/>
        </w:numPr>
        <w:spacing w:after="200" w:line="276" w:lineRule="auto"/>
        <w:jc w:val="both"/>
        <w:rPr>
          <w:b/>
          <w:lang w:val="en-GB"/>
        </w:rPr>
      </w:pPr>
      <w:r>
        <w:rPr>
          <w:b/>
          <w:lang w:val="en-GB"/>
        </w:rPr>
        <w:t>Low p</w:t>
      </w:r>
      <w:r w:rsidRPr="00CA46C7">
        <w:rPr>
          <w:b/>
          <w:lang w:val="en-GB"/>
        </w:rPr>
        <w:t xml:space="preserve">articipation </w:t>
      </w:r>
      <w:r>
        <w:rPr>
          <w:b/>
          <w:lang w:val="en-GB"/>
        </w:rPr>
        <w:t>at the</w:t>
      </w:r>
      <w:r w:rsidRPr="00CA46C7">
        <w:rPr>
          <w:b/>
          <w:lang w:val="en-GB"/>
        </w:rPr>
        <w:t xml:space="preserve"> </w:t>
      </w:r>
      <w:r>
        <w:rPr>
          <w:b/>
          <w:lang w:val="en-GB"/>
        </w:rPr>
        <w:t xml:space="preserve">initial stage of the response, as rapidity of response is prioritised: </w:t>
      </w:r>
      <w:r w:rsidRPr="000527FD">
        <w:rPr>
          <w:lang w:val="en-GB"/>
        </w:rPr>
        <w:t>are the two mutually exclusive?</w:t>
      </w:r>
    </w:p>
    <w:p w14:paraId="04F61B12" w14:textId="77777777" w:rsidR="00F47897" w:rsidRPr="00875D99" w:rsidRDefault="00F47897" w:rsidP="00F47897">
      <w:pPr>
        <w:pStyle w:val="ListParagraph"/>
        <w:spacing w:after="200" w:line="276" w:lineRule="auto"/>
        <w:jc w:val="both"/>
        <w:rPr>
          <w:b/>
          <w:lang w:val="en-GB"/>
        </w:rPr>
      </w:pPr>
    </w:p>
    <w:p w14:paraId="707947AB" w14:textId="77777777" w:rsidR="00F47897" w:rsidRPr="008916E5" w:rsidRDefault="00F47897" w:rsidP="00F47897">
      <w:pPr>
        <w:pStyle w:val="ListParagraph"/>
        <w:numPr>
          <w:ilvl w:val="0"/>
          <w:numId w:val="9"/>
        </w:numPr>
        <w:spacing w:after="200" w:line="276" w:lineRule="auto"/>
        <w:jc w:val="both"/>
        <w:rPr>
          <w:lang w:val="en-GB"/>
        </w:rPr>
      </w:pPr>
      <w:r>
        <w:rPr>
          <w:b/>
          <w:lang w:val="en-GB"/>
        </w:rPr>
        <w:t>Balancing i</w:t>
      </w:r>
      <w:r w:rsidRPr="00CA46C7">
        <w:rPr>
          <w:b/>
          <w:lang w:val="en-GB"/>
        </w:rPr>
        <w:t>nputs from participation with expert knowledge</w:t>
      </w:r>
      <w:r>
        <w:rPr>
          <w:b/>
          <w:lang w:val="en-GB"/>
        </w:rPr>
        <w:t xml:space="preserve">: </w:t>
      </w:r>
      <w:r w:rsidRPr="008916E5">
        <w:rPr>
          <w:lang w:val="en-GB"/>
        </w:rPr>
        <w:t>This is essential as some essential needs may not be expressed by affected people, either because the needs relate to prevention or because of stigma attached, such as for ex. mental health.</w:t>
      </w:r>
    </w:p>
    <w:p w14:paraId="77BF6BEB" w14:textId="77777777" w:rsidR="00F47897" w:rsidRPr="00875D99" w:rsidRDefault="00F47897" w:rsidP="00F47897">
      <w:pPr>
        <w:pStyle w:val="ListParagraph"/>
        <w:jc w:val="both"/>
        <w:rPr>
          <w:rFonts w:cs="Times New Roman"/>
          <w:lang w:val="en-GB"/>
        </w:rPr>
      </w:pPr>
    </w:p>
    <w:p w14:paraId="059C1FDE" w14:textId="77777777" w:rsidR="00F47897" w:rsidRPr="005F7C7D" w:rsidRDefault="00F47897" w:rsidP="00F47897">
      <w:pPr>
        <w:pStyle w:val="ListParagraph"/>
        <w:numPr>
          <w:ilvl w:val="0"/>
          <w:numId w:val="9"/>
        </w:numPr>
        <w:jc w:val="both"/>
        <w:rPr>
          <w:rFonts w:cs="Times New Roman"/>
          <w:lang w:val="en-GB"/>
        </w:rPr>
      </w:pPr>
      <w:r w:rsidRPr="005F7C7D">
        <w:rPr>
          <w:rFonts w:cs="Times New Roman"/>
          <w:b/>
          <w:lang w:val="en-GB"/>
        </w:rPr>
        <w:t xml:space="preserve">Partnership with refugee based and local organisations: </w:t>
      </w:r>
      <w:r w:rsidRPr="005F7C7D">
        <w:rPr>
          <w:rFonts w:cs="Times New Roman"/>
          <w:lang w:val="en-GB"/>
        </w:rPr>
        <w:t xml:space="preserve">Local and refugees based organisation have valuable added value in </w:t>
      </w:r>
      <w:r>
        <w:rPr>
          <w:rFonts w:cs="Times New Roman"/>
          <w:lang w:val="en-GB"/>
        </w:rPr>
        <w:t xml:space="preserve">terms of </w:t>
      </w:r>
      <w:r w:rsidRPr="005F7C7D">
        <w:rPr>
          <w:rFonts w:cs="Times New Roman"/>
          <w:lang w:val="en-GB"/>
        </w:rPr>
        <w:t>participation as they have local languages knowledge and better “cultural acces</w:t>
      </w:r>
      <w:r>
        <w:rPr>
          <w:rFonts w:cs="Times New Roman"/>
          <w:lang w:val="en-GB"/>
        </w:rPr>
        <w:t>s”, nevertheless:</w:t>
      </w:r>
    </w:p>
    <w:p w14:paraId="517F471D" w14:textId="77777777" w:rsidR="00F47897" w:rsidRPr="00CA46C7" w:rsidRDefault="00F47897" w:rsidP="00F47897">
      <w:pPr>
        <w:pStyle w:val="ListParagraph"/>
        <w:numPr>
          <w:ilvl w:val="1"/>
          <w:numId w:val="9"/>
        </w:numPr>
        <w:spacing w:after="200" w:line="276" w:lineRule="auto"/>
        <w:jc w:val="both"/>
        <w:rPr>
          <w:lang w:val="en-GB"/>
        </w:rPr>
      </w:pPr>
      <w:r w:rsidRPr="00CA46C7">
        <w:rPr>
          <w:lang w:val="en-GB"/>
        </w:rPr>
        <w:t>Each INGO has its own set of participation related requirements which it then passes on to its partners,</w:t>
      </w:r>
    </w:p>
    <w:p w14:paraId="1AD7F79B" w14:textId="77777777" w:rsidR="00F47897" w:rsidRPr="00CA46C7" w:rsidRDefault="00F47897" w:rsidP="00F47897">
      <w:pPr>
        <w:pStyle w:val="ListParagraph"/>
        <w:numPr>
          <w:ilvl w:val="1"/>
          <w:numId w:val="9"/>
        </w:numPr>
        <w:spacing w:after="200" w:line="276" w:lineRule="auto"/>
        <w:jc w:val="both"/>
        <w:rPr>
          <w:lang w:val="en-GB"/>
        </w:rPr>
      </w:pPr>
      <w:r w:rsidRPr="00CA46C7">
        <w:rPr>
          <w:lang w:val="en-GB"/>
        </w:rPr>
        <w:t>Local or national organisations do not necessarily do participation better than international actors,</w:t>
      </w:r>
    </w:p>
    <w:p w14:paraId="6A42C781" w14:textId="77777777" w:rsidR="00F47897" w:rsidRDefault="00F47897" w:rsidP="00F47897">
      <w:pPr>
        <w:pStyle w:val="ListParagraph"/>
        <w:numPr>
          <w:ilvl w:val="1"/>
          <w:numId w:val="9"/>
        </w:numPr>
        <w:spacing w:after="200" w:line="276" w:lineRule="auto"/>
        <w:jc w:val="both"/>
        <w:rPr>
          <w:lang w:val="en-GB"/>
        </w:rPr>
      </w:pPr>
      <w:r w:rsidRPr="00CA46C7">
        <w:rPr>
          <w:lang w:val="en-GB"/>
        </w:rPr>
        <w:t>National or local organisations have different understanding of participation depending on whether they are grassroot or more institutionalised organisations</w:t>
      </w:r>
    </w:p>
    <w:p w14:paraId="1EEC83AC" w14:textId="77777777" w:rsidR="00F47897" w:rsidRDefault="00F47897" w:rsidP="00F47897">
      <w:pPr>
        <w:pStyle w:val="ListParagraph"/>
        <w:spacing w:after="200" w:line="276" w:lineRule="auto"/>
        <w:rPr>
          <w:lang w:val="en-GB"/>
        </w:rPr>
      </w:pPr>
    </w:p>
    <w:p w14:paraId="25E1E73C" w14:textId="77777777" w:rsidR="00F47897" w:rsidRPr="000527FD" w:rsidRDefault="00F47897" w:rsidP="00F47897">
      <w:pPr>
        <w:pStyle w:val="ListParagraph"/>
        <w:numPr>
          <w:ilvl w:val="0"/>
          <w:numId w:val="9"/>
        </w:numPr>
        <w:spacing w:after="200" w:line="276" w:lineRule="auto"/>
        <w:rPr>
          <w:b/>
          <w:lang w:val="en-GB"/>
        </w:rPr>
      </w:pPr>
      <w:r w:rsidRPr="000527FD">
        <w:rPr>
          <w:b/>
          <w:lang w:val="en-GB"/>
        </w:rPr>
        <w:t>Needs assessments versus needs analysis and resource requirement implications:</w:t>
      </w:r>
    </w:p>
    <w:p w14:paraId="6670BA77" w14:textId="77777777" w:rsidR="00F47897" w:rsidRPr="000527FD" w:rsidRDefault="00F47897" w:rsidP="00F47897">
      <w:pPr>
        <w:pStyle w:val="ListParagraph"/>
        <w:numPr>
          <w:ilvl w:val="1"/>
          <w:numId w:val="9"/>
        </w:numPr>
        <w:spacing w:after="200" w:line="276" w:lineRule="auto"/>
        <w:rPr>
          <w:lang w:val="en-GB"/>
        </w:rPr>
      </w:pPr>
      <w:r w:rsidRPr="000527FD">
        <w:rPr>
          <w:lang w:val="en-GB"/>
        </w:rPr>
        <w:t>Are we over-focussing on sectoral needs assessment at the expense of situation and context analysis, including cross-cutting issues?</w:t>
      </w:r>
    </w:p>
    <w:p w14:paraId="0DAE66FD" w14:textId="77777777" w:rsidR="00F47897" w:rsidRPr="000527FD" w:rsidRDefault="00F47897" w:rsidP="00F47897">
      <w:pPr>
        <w:pStyle w:val="ListParagraph"/>
        <w:numPr>
          <w:ilvl w:val="1"/>
          <w:numId w:val="9"/>
        </w:numPr>
        <w:spacing w:after="200" w:line="276" w:lineRule="auto"/>
        <w:rPr>
          <w:lang w:val="en-GB"/>
        </w:rPr>
      </w:pPr>
      <w:r w:rsidRPr="000527FD">
        <w:rPr>
          <w:lang w:val="en-GB"/>
        </w:rPr>
        <w:t>Are we able to effectively process all the data we collect to inform decision-making?</w:t>
      </w:r>
    </w:p>
    <w:p w14:paraId="76B19FC5" w14:textId="77777777" w:rsidR="00F47897" w:rsidRPr="000527FD" w:rsidRDefault="00F47897" w:rsidP="00F47897">
      <w:pPr>
        <w:pStyle w:val="ListParagraph"/>
        <w:numPr>
          <w:ilvl w:val="1"/>
          <w:numId w:val="9"/>
        </w:numPr>
        <w:spacing w:after="200" w:line="276" w:lineRule="auto"/>
        <w:rPr>
          <w:lang w:val="en-GB"/>
        </w:rPr>
      </w:pPr>
      <w:r w:rsidRPr="000527FD">
        <w:rPr>
          <w:lang w:val="en-GB"/>
        </w:rPr>
        <w:t>Could we rationalise resources better with less of a sectoral focus and more of a people centered approach?</w:t>
      </w:r>
    </w:p>
    <w:p w14:paraId="174B3AAF" w14:textId="77777777" w:rsidR="00F47897" w:rsidRPr="000527FD" w:rsidRDefault="00F47897" w:rsidP="00F47897">
      <w:pPr>
        <w:pStyle w:val="ListParagraph"/>
        <w:numPr>
          <w:ilvl w:val="1"/>
          <w:numId w:val="9"/>
        </w:numPr>
        <w:spacing w:after="200" w:line="276" w:lineRule="auto"/>
        <w:rPr>
          <w:lang w:val="en-GB"/>
        </w:rPr>
      </w:pPr>
      <w:r w:rsidRPr="000527FD">
        <w:rPr>
          <w:lang w:val="en-GB"/>
        </w:rPr>
        <w:t>Could participation be less resource intensive if participation funding was less projectivised?</w:t>
      </w:r>
    </w:p>
    <w:p w14:paraId="3C1717A1" w14:textId="77777777" w:rsidR="00F47897" w:rsidRDefault="00F47897" w:rsidP="00F47897">
      <w:pPr>
        <w:pStyle w:val="ListParagraph"/>
        <w:spacing w:after="200" w:line="276" w:lineRule="auto"/>
        <w:rPr>
          <w:lang w:val="en-GB"/>
        </w:rPr>
      </w:pPr>
    </w:p>
    <w:p w14:paraId="5CF23CF9" w14:textId="77777777" w:rsidR="00F47897" w:rsidRPr="000527FD" w:rsidRDefault="00F47897" w:rsidP="00F47897">
      <w:pPr>
        <w:pStyle w:val="ListParagraph"/>
        <w:numPr>
          <w:ilvl w:val="0"/>
          <w:numId w:val="9"/>
        </w:numPr>
        <w:spacing w:after="200" w:line="276" w:lineRule="auto"/>
        <w:rPr>
          <w:lang w:val="en-GB"/>
        </w:rPr>
      </w:pPr>
      <w:r w:rsidRPr="000527FD">
        <w:rPr>
          <w:b/>
          <w:lang w:val="en-GB"/>
        </w:rPr>
        <w:t>Unconditional cash</w:t>
      </w:r>
      <w:r w:rsidRPr="000527FD">
        <w:rPr>
          <w:lang w:val="en-GB"/>
        </w:rPr>
        <w:t>: why is it so problematic for the sector?</w:t>
      </w:r>
    </w:p>
    <w:p w14:paraId="541A1338" w14:textId="77777777" w:rsidR="00F47897" w:rsidRPr="000527FD" w:rsidRDefault="00F47897" w:rsidP="00F47897">
      <w:pPr>
        <w:pStyle w:val="ListParagraph"/>
        <w:numPr>
          <w:ilvl w:val="1"/>
          <w:numId w:val="9"/>
        </w:numPr>
        <w:spacing w:after="200" w:line="276" w:lineRule="auto"/>
        <w:rPr>
          <w:lang w:val="en-GB"/>
        </w:rPr>
      </w:pPr>
      <w:r w:rsidRPr="000527FD">
        <w:rPr>
          <w:lang w:val="en-GB"/>
        </w:rPr>
        <w:t>Is it helping the most vulnerable including within households?</w:t>
      </w:r>
    </w:p>
    <w:p w14:paraId="0760215D" w14:textId="77777777" w:rsidR="00F47897" w:rsidRPr="000527FD" w:rsidRDefault="00F47897" w:rsidP="00F47897">
      <w:pPr>
        <w:pStyle w:val="ListParagraph"/>
        <w:numPr>
          <w:ilvl w:val="1"/>
          <w:numId w:val="9"/>
        </w:numPr>
        <w:spacing w:after="200" w:line="276" w:lineRule="auto"/>
        <w:rPr>
          <w:lang w:val="en-GB"/>
        </w:rPr>
      </w:pPr>
      <w:r w:rsidRPr="000527FD">
        <w:rPr>
          <w:lang w:val="en-GB"/>
        </w:rPr>
        <w:t>How do we measure the impact of such interventions?</w:t>
      </w:r>
    </w:p>
    <w:p w14:paraId="0DECB458" w14:textId="77777777" w:rsidR="00F47897" w:rsidRPr="00CA46C7" w:rsidRDefault="00F47897" w:rsidP="00F47897">
      <w:pPr>
        <w:rPr>
          <w:rFonts w:cs="Times New Roman"/>
          <w:lang w:val="en-GB"/>
        </w:rPr>
      </w:pPr>
    </w:p>
    <w:p w14:paraId="65C514B0" w14:textId="77777777" w:rsidR="00712F8D" w:rsidRPr="00712F8D" w:rsidRDefault="00712F8D" w:rsidP="00712F8D">
      <w:pPr>
        <w:pStyle w:val="Heading1"/>
        <w:keepNext/>
        <w:keepLines/>
        <w:spacing w:before="240" w:beforeAutospacing="0" w:after="240" w:afterAutospacing="0" w:line="259" w:lineRule="auto"/>
        <w:rPr>
          <w:rFonts w:eastAsiaTheme="majorEastAsia"/>
          <w:bCs w:val="0"/>
          <w:kern w:val="0"/>
          <w:sz w:val="32"/>
          <w:szCs w:val="32"/>
          <w:lang w:val="en-GB" w:eastAsia="en-US"/>
        </w:rPr>
      </w:pPr>
    </w:p>
    <w:sectPr w:rsidR="00712F8D" w:rsidRPr="00712F8D" w:rsidSect="00712F8D">
      <w:footerReference w:type="default" r:id="rId8"/>
      <w:pgSz w:w="11906" w:h="16838"/>
      <w:pgMar w:top="1418" w:right="1416" w:bottom="1418" w:left="1418"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E10D8" w14:textId="77777777" w:rsidR="00706849" w:rsidRDefault="00706849" w:rsidP="00676481">
      <w:pPr>
        <w:spacing w:after="0" w:line="240" w:lineRule="auto"/>
      </w:pPr>
      <w:r>
        <w:separator/>
      </w:r>
    </w:p>
  </w:endnote>
  <w:endnote w:type="continuationSeparator" w:id="0">
    <w:p w14:paraId="5B559BEC" w14:textId="77777777" w:rsidR="00706849" w:rsidRDefault="00706849" w:rsidP="0067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75188"/>
      <w:docPartObj>
        <w:docPartGallery w:val="Page Numbers (Bottom of Page)"/>
        <w:docPartUnique/>
      </w:docPartObj>
    </w:sdtPr>
    <w:sdtContent>
      <w:p w14:paraId="3E550254" w14:textId="7FBF4757" w:rsidR="00706849" w:rsidRDefault="00706849">
        <w:pPr>
          <w:pStyle w:val="Footer"/>
          <w:jc w:val="right"/>
        </w:pPr>
        <w:r>
          <w:fldChar w:fldCharType="begin"/>
        </w:r>
        <w:r>
          <w:instrText>PAGE   \* MERGEFORMAT</w:instrText>
        </w:r>
        <w:r>
          <w:fldChar w:fldCharType="separate"/>
        </w:r>
        <w:r w:rsidR="00BB2F33">
          <w:rPr>
            <w:noProof/>
          </w:rPr>
          <w:t>9</w:t>
        </w:r>
        <w:r>
          <w:fldChar w:fldCharType="end"/>
        </w:r>
      </w:p>
    </w:sdtContent>
  </w:sdt>
  <w:p w14:paraId="5E472825" w14:textId="77777777" w:rsidR="00706849" w:rsidRDefault="0070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F6A19" w14:textId="77777777" w:rsidR="00706849" w:rsidRDefault="00706849" w:rsidP="00676481">
      <w:pPr>
        <w:spacing w:after="0" w:line="240" w:lineRule="auto"/>
      </w:pPr>
      <w:r>
        <w:separator/>
      </w:r>
    </w:p>
  </w:footnote>
  <w:footnote w:type="continuationSeparator" w:id="0">
    <w:p w14:paraId="698E7D66" w14:textId="77777777" w:rsidR="00706849" w:rsidRDefault="00706849" w:rsidP="00676481">
      <w:pPr>
        <w:spacing w:after="0" w:line="240" w:lineRule="auto"/>
      </w:pPr>
      <w:r>
        <w:continuationSeparator/>
      </w:r>
    </w:p>
  </w:footnote>
  <w:footnote w:id="1">
    <w:p w14:paraId="3A2D8170" w14:textId="4C884403" w:rsidR="00706849" w:rsidRPr="00187F9A" w:rsidRDefault="00706849" w:rsidP="0017284E">
      <w:pPr>
        <w:pStyle w:val="FootnoteText"/>
        <w:rPr>
          <w:lang w:val="en-GB"/>
        </w:rPr>
      </w:pPr>
      <w:r>
        <w:rPr>
          <w:rStyle w:val="FootnoteReference"/>
        </w:rPr>
        <w:footnoteRef/>
      </w:r>
      <w:r w:rsidRPr="00187F9A">
        <w:rPr>
          <w:lang w:val="en-GB"/>
        </w:rPr>
        <w:t xml:space="preserve"> The</w:t>
      </w:r>
      <w:r>
        <w:rPr>
          <w:lang w:val="en-GB"/>
        </w:rPr>
        <w:t xml:space="preserve"> contexts were chosen because they are conflict contexts, as SCHR’s July’s overview of participation practices identified these as presenting more challenges to participation than natural hazard induced disaster contexts. They were also chosen because of the concentration of SCHR organisations programmes (a requirement considering the peer review’s short time frame). </w:t>
      </w:r>
    </w:p>
  </w:footnote>
  <w:footnote w:id="2">
    <w:p w14:paraId="6F57A2A0" w14:textId="4A4E758B" w:rsidR="00706849" w:rsidRPr="001B59BF" w:rsidRDefault="00706849">
      <w:pPr>
        <w:pStyle w:val="FootnoteText"/>
        <w:rPr>
          <w:lang w:val="en-GB"/>
        </w:rPr>
      </w:pPr>
      <w:r>
        <w:rPr>
          <w:rStyle w:val="FootnoteReference"/>
        </w:rPr>
        <w:footnoteRef/>
      </w:r>
      <w:r w:rsidRPr="001B59BF">
        <w:rPr>
          <w:lang w:val="en-GB"/>
        </w:rPr>
        <w:t xml:space="preserve"> </w:t>
      </w:r>
      <w:r>
        <w:rPr>
          <w:lang w:val="en-GB"/>
        </w:rPr>
        <w:t xml:space="preserve">The full definition can be found at </w:t>
      </w:r>
      <w:hyperlink r:id="rId1" w:history="1">
        <w:r w:rsidRPr="008F3AEF">
          <w:rPr>
            <w:rStyle w:val="Hyperlink"/>
            <w:lang w:val="en-GB"/>
          </w:rPr>
          <w:t>https://interagencystandingcommittee.org/grand-bargain-hosted-iasc/documents/final-participation-revolution-work-stream-recommendations</w:t>
        </w:r>
      </w:hyperlink>
    </w:p>
  </w:footnote>
  <w:footnote w:id="3">
    <w:p w14:paraId="1B3AB487" w14:textId="77777777" w:rsidR="00706849" w:rsidRPr="00A511DB" w:rsidRDefault="00706849">
      <w:pPr>
        <w:pStyle w:val="FootnoteText"/>
        <w:rPr>
          <w:lang w:val="en-US"/>
        </w:rPr>
      </w:pPr>
      <w:r>
        <w:rPr>
          <w:rStyle w:val="FootnoteReference"/>
        </w:rPr>
        <w:footnoteRef/>
      </w:r>
      <w:r w:rsidRPr="00A511DB">
        <w:rPr>
          <w:lang w:val="en-US"/>
        </w:rPr>
        <w:t xml:space="preserve"> </w:t>
      </w:r>
      <w:hyperlink r:id="rId2" w:history="1">
        <w:r w:rsidRPr="00E83AB5">
          <w:rPr>
            <w:rStyle w:val="Hyperlink"/>
            <w:b/>
            <w:iCs/>
            <w:lang w:val="en-GB"/>
          </w:rPr>
          <w:t>The Core Humanitarian Standard</w:t>
        </w:r>
      </w:hyperlink>
    </w:p>
  </w:footnote>
  <w:footnote w:id="4">
    <w:p w14:paraId="71E7D7E8" w14:textId="5C7994E5" w:rsidR="00706849" w:rsidRPr="00FC6662" w:rsidRDefault="00706849" w:rsidP="00D55467">
      <w:pPr>
        <w:pStyle w:val="FootnoteText"/>
        <w:rPr>
          <w:lang w:val="en-GB"/>
        </w:rPr>
      </w:pPr>
      <w:r>
        <w:rPr>
          <w:rStyle w:val="FootnoteReference"/>
        </w:rPr>
        <w:footnoteRef/>
      </w:r>
      <w:r w:rsidRPr="00FC6662">
        <w:rPr>
          <w:lang w:val="en-GB"/>
        </w:rPr>
        <w:t xml:space="preserve"> </w:t>
      </w:r>
      <w:r>
        <w:rPr>
          <w:lang w:val="en-GB"/>
        </w:rPr>
        <w:t xml:space="preserve">One organisations’ MEAL coordinator in northern Iraq described having to meet seven different sets of participation -related reporting requirements, four external ones and three internal ones. </w:t>
      </w:r>
    </w:p>
  </w:footnote>
  <w:footnote w:id="5">
    <w:p w14:paraId="3CA71F8D" w14:textId="3693FC58" w:rsidR="00706849" w:rsidRPr="00C85D82" w:rsidRDefault="00706849" w:rsidP="00C85D82">
      <w:pPr>
        <w:pStyle w:val="Default"/>
        <w:rPr>
          <w:lang w:val="en-GB"/>
        </w:rPr>
      </w:pPr>
      <w:r w:rsidRPr="00C85D82">
        <w:rPr>
          <w:rStyle w:val="FootnoteReference"/>
          <w:rFonts w:asciiTheme="minorHAnsi" w:hAnsiTheme="minorHAnsi"/>
          <w:sz w:val="20"/>
        </w:rPr>
        <w:footnoteRef/>
      </w:r>
      <w:r w:rsidRPr="00C85D82">
        <w:rPr>
          <w:rFonts w:asciiTheme="minorHAnsi" w:hAnsiTheme="minorHAnsi"/>
          <w:sz w:val="20"/>
          <w:lang w:val="en-GB"/>
        </w:rPr>
        <w:t xml:space="preserve"> </w:t>
      </w:r>
      <w:r>
        <w:rPr>
          <w:rFonts w:asciiTheme="minorHAnsi" w:hAnsiTheme="minorHAnsi" w:cs="Times New Roman"/>
          <w:sz w:val="20"/>
          <w:lang w:val="en-GB"/>
        </w:rPr>
        <w:t>In Uganda, the International Rescue Committee</w:t>
      </w:r>
      <w:r w:rsidRPr="00C85D82">
        <w:rPr>
          <w:rFonts w:asciiTheme="minorHAnsi" w:hAnsiTheme="minorHAnsi" w:cs="Times New Roman"/>
          <w:sz w:val="20"/>
          <w:lang w:val="en-GB"/>
        </w:rPr>
        <w:t xml:space="preserve">, in partnership with the Bureau of Population, Refugees and Migration and the Uganda National NGO Forum </w:t>
      </w:r>
      <w:r>
        <w:rPr>
          <w:rFonts w:asciiTheme="minorHAnsi" w:hAnsiTheme="minorHAnsi" w:cs="Times New Roman"/>
          <w:sz w:val="20"/>
          <w:lang w:val="en-GB"/>
        </w:rPr>
        <w:t xml:space="preserve">held a </w:t>
      </w:r>
      <w:r w:rsidRPr="00C85D82">
        <w:rPr>
          <w:rFonts w:asciiTheme="minorHAnsi" w:hAnsiTheme="minorHAnsi" w:cs="Times New Roman"/>
          <w:sz w:val="20"/>
          <w:lang w:val="en-GB"/>
        </w:rPr>
        <w:t>workshop on the use of beneficiary feedback on</w:t>
      </w:r>
      <w:r>
        <w:rPr>
          <w:rFonts w:asciiTheme="minorHAnsi" w:hAnsiTheme="minorHAnsi" w:cs="Times New Roman"/>
          <w:sz w:val="20"/>
          <w:lang w:val="en-GB"/>
        </w:rPr>
        <w:t xml:space="preserve"> 25 April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5FF"/>
    <w:multiLevelType w:val="hybridMultilevel"/>
    <w:tmpl w:val="0A662934"/>
    <w:lvl w:ilvl="0" w:tplc="1C9CF17C">
      <w:start w:val="1"/>
      <w:numFmt w:val="bullet"/>
      <w:lvlText w:val="•"/>
      <w:lvlJc w:val="left"/>
      <w:pPr>
        <w:tabs>
          <w:tab w:val="num" w:pos="720"/>
        </w:tabs>
        <w:ind w:left="720" w:hanging="360"/>
      </w:pPr>
      <w:rPr>
        <w:rFonts w:ascii="Arial" w:hAnsi="Arial" w:hint="default"/>
      </w:rPr>
    </w:lvl>
    <w:lvl w:ilvl="1" w:tplc="DEAE6ADC" w:tentative="1">
      <w:start w:val="1"/>
      <w:numFmt w:val="bullet"/>
      <w:lvlText w:val="•"/>
      <w:lvlJc w:val="left"/>
      <w:pPr>
        <w:tabs>
          <w:tab w:val="num" w:pos="1440"/>
        </w:tabs>
        <w:ind w:left="1440" w:hanging="360"/>
      </w:pPr>
      <w:rPr>
        <w:rFonts w:ascii="Arial" w:hAnsi="Arial" w:hint="default"/>
      </w:rPr>
    </w:lvl>
    <w:lvl w:ilvl="2" w:tplc="DBB0843C" w:tentative="1">
      <w:start w:val="1"/>
      <w:numFmt w:val="bullet"/>
      <w:lvlText w:val="•"/>
      <w:lvlJc w:val="left"/>
      <w:pPr>
        <w:tabs>
          <w:tab w:val="num" w:pos="2160"/>
        </w:tabs>
        <w:ind w:left="2160" w:hanging="360"/>
      </w:pPr>
      <w:rPr>
        <w:rFonts w:ascii="Arial" w:hAnsi="Arial" w:hint="default"/>
      </w:rPr>
    </w:lvl>
    <w:lvl w:ilvl="3" w:tplc="6BAE4BA8" w:tentative="1">
      <w:start w:val="1"/>
      <w:numFmt w:val="bullet"/>
      <w:lvlText w:val="•"/>
      <w:lvlJc w:val="left"/>
      <w:pPr>
        <w:tabs>
          <w:tab w:val="num" w:pos="2880"/>
        </w:tabs>
        <w:ind w:left="2880" w:hanging="360"/>
      </w:pPr>
      <w:rPr>
        <w:rFonts w:ascii="Arial" w:hAnsi="Arial" w:hint="default"/>
      </w:rPr>
    </w:lvl>
    <w:lvl w:ilvl="4" w:tplc="CECE50FA" w:tentative="1">
      <w:start w:val="1"/>
      <w:numFmt w:val="bullet"/>
      <w:lvlText w:val="•"/>
      <w:lvlJc w:val="left"/>
      <w:pPr>
        <w:tabs>
          <w:tab w:val="num" w:pos="3600"/>
        </w:tabs>
        <w:ind w:left="3600" w:hanging="360"/>
      </w:pPr>
      <w:rPr>
        <w:rFonts w:ascii="Arial" w:hAnsi="Arial" w:hint="default"/>
      </w:rPr>
    </w:lvl>
    <w:lvl w:ilvl="5" w:tplc="D5F010B8" w:tentative="1">
      <w:start w:val="1"/>
      <w:numFmt w:val="bullet"/>
      <w:lvlText w:val="•"/>
      <w:lvlJc w:val="left"/>
      <w:pPr>
        <w:tabs>
          <w:tab w:val="num" w:pos="4320"/>
        </w:tabs>
        <w:ind w:left="4320" w:hanging="360"/>
      </w:pPr>
      <w:rPr>
        <w:rFonts w:ascii="Arial" w:hAnsi="Arial" w:hint="default"/>
      </w:rPr>
    </w:lvl>
    <w:lvl w:ilvl="6" w:tplc="E8DCBED0" w:tentative="1">
      <w:start w:val="1"/>
      <w:numFmt w:val="bullet"/>
      <w:lvlText w:val="•"/>
      <w:lvlJc w:val="left"/>
      <w:pPr>
        <w:tabs>
          <w:tab w:val="num" w:pos="5040"/>
        </w:tabs>
        <w:ind w:left="5040" w:hanging="360"/>
      </w:pPr>
      <w:rPr>
        <w:rFonts w:ascii="Arial" w:hAnsi="Arial" w:hint="default"/>
      </w:rPr>
    </w:lvl>
    <w:lvl w:ilvl="7" w:tplc="C908DD38" w:tentative="1">
      <w:start w:val="1"/>
      <w:numFmt w:val="bullet"/>
      <w:lvlText w:val="•"/>
      <w:lvlJc w:val="left"/>
      <w:pPr>
        <w:tabs>
          <w:tab w:val="num" w:pos="5760"/>
        </w:tabs>
        <w:ind w:left="5760" w:hanging="360"/>
      </w:pPr>
      <w:rPr>
        <w:rFonts w:ascii="Arial" w:hAnsi="Arial" w:hint="default"/>
      </w:rPr>
    </w:lvl>
    <w:lvl w:ilvl="8" w:tplc="329287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00BEA"/>
    <w:multiLevelType w:val="hybridMultilevel"/>
    <w:tmpl w:val="892243CE"/>
    <w:lvl w:ilvl="0" w:tplc="B1080C32">
      <w:start w:val="1"/>
      <w:numFmt w:val="bullet"/>
      <w:lvlText w:val="•"/>
      <w:lvlJc w:val="left"/>
      <w:pPr>
        <w:tabs>
          <w:tab w:val="num" w:pos="360"/>
        </w:tabs>
        <w:ind w:left="360" w:hanging="360"/>
      </w:pPr>
      <w:rPr>
        <w:rFonts w:ascii="Arial" w:hAnsi="Arial" w:hint="default"/>
      </w:rPr>
    </w:lvl>
    <w:lvl w:ilvl="1" w:tplc="51326BD2" w:tentative="1">
      <w:start w:val="1"/>
      <w:numFmt w:val="bullet"/>
      <w:lvlText w:val="•"/>
      <w:lvlJc w:val="left"/>
      <w:pPr>
        <w:tabs>
          <w:tab w:val="num" w:pos="1080"/>
        </w:tabs>
        <w:ind w:left="1080" w:hanging="360"/>
      </w:pPr>
      <w:rPr>
        <w:rFonts w:ascii="Arial" w:hAnsi="Arial" w:hint="default"/>
      </w:rPr>
    </w:lvl>
    <w:lvl w:ilvl="2" w:tplc="CBCC1032" w:tentative="1">
      <w:start w:val="1"/>
      <w:numFmt w:val="bullet"/>
      <w:lvlText w:val="•"/>
      <w:lvlJc w:val="left"/>
      <w:pPr>
        <w:tabs>
          <w:tab w:val="num" w:pos="1800"/>
        </w:tabs>
        <w:ind w:left="1800" w:hanging="360"/>
      </w:pPr>
      <w:rPr>
        <w:rFonts w:ascii="Arial" w:hAnsi="Arial" w:hint="default"/>
      </w:rPr>
    </w:lvl>
    <w:lvl w:ilvl="3" w:tplc="B690523E" w:tentative="1">
      <w:start w:val="1"/>
      <w:numFmt w:val="bullet"/>
      <w:lvlText w:val="•"/>
      <w:lvlJc w:val="left"/>
      <w:pPr>
        <w:tabs>
          <w:tab w:val="num" w:pos="2520"/>
        </w:tabs>
        <w:ind w:left="2520" w:hanging="360"/>
      </w:pPr>
      <w:rPr>
        <w:rFonts w:ascii="Arial" w:hAnsi="Arial" w:hint="default"/>
      </w:rPr>
    </w:lvl>
    <w:lvl w:ilvl="4" w:tplc="69427F9A" w:tentative="1">
      <w:start w:val="1"/>
      <w:numFmt w:val="bullet"/>
      <w:lvlText w:val="•"/>
      <w:lvlJc w:val="left"/>
      <w:pPr>
        <w:tabs>
          <w:tab w:val="num" w:pos="3240"/>
        </w:tabs>
        <w:ind w:left="3240" w:hanging="360"/>
      </w:pPr>
      <w:rPr>
        <w:rFonts w:ascii="Arial" w:hAnsi="Arial" w:hint="default"/>
      </w:rPr>
    </w:lvl>
    <w:lvl w:ilvl="5" w:tplc="D91C984C" w:tentative="1">
      <w:start w:val="1"/>
      <w:numFmt w:val="bullet"/>
      <w:lvlText w:val="•"/>
      <w:lvlJc w:val="left"/>
      <w:pPr>
        <w:tabs>
          <w:tab w:val="num" w:pos="3960"/>
        </w:tabs>
        <w:ind w:left="3960" w:hanging="360"/>
      </w:pPr>
      <w:rPr>
        <w:rFonts w:ascii="Arial" w:hAnsi="Arial" w:hint="default"/>
      </w:rPr>
    </w:lvl>
    <w:lvl w:ilvl="6" w:tplc="2F88DEC2" w:tentative="1">
      <w:start w:val="1"/>
      <w:numFmt w:val="bullet"/>
      <w:lvlText w:val="•"/>
      <w:lvlJc w:val="left"/>
      <w:pPr>
        <w:tabs>
          <w:tab w:val="num" w:pos="4680"/>
        </w:tabs>
        <w:ind w:left="4680" w:hanging="360"/>
      </w:pPr>
      <w:rPr>
        <w:rFonts w:ascii="Arial" w:hAnsi="Arial" w:hint="default"/>
      </w:rPr>
    </w:lvl>
    <w:lvl w:ilvl="7" w:tplc="4B60205E" w:tentative="1">
      <w:start w:val="1"/>
      <w:numFmt w:val="bullet"/>
      <w:lvlText w:val="•"/>
      <w:lvlJc w:val="left"/>
      <w:pPr>
        <w:tabs>
          <w:tab w:val="num" w:pos="5400"/>
        </w:tabs>
        <w:ind w:left="5400" w:hanging="360"/>
      </w:pPr>
      <w:rPr>
        <w:rFonts w:ascii="Arial" w:hAnsi="Arial" w:hint="default"/>
      </w:rPr>
    </w:lvl>
    <w:lvl w:ilvl="8" w:tplc="1B38B4E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1C0A5A"/>
    <w:multiLevelType w:val="hybridMultilevel"/>
    <w:tmpl w:val="9446E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0143A"/>
    <w:multiLevelType w:val="hybridMultilevel"/>
    <w:tmpl w:val="5D841366"/>
    <w:lvl w:ilvl="0" w:tplc="1C9CF17C">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B5B42"/>
    <w:multiLevelType w:val="hybridMultilevel"/>
    <w:tmpl w:val="6CE894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97B3ECD"/>
    <w:multiLevelType w:val="hybridMultilevel"/>
    <w:tmpl w:val="14EC258A"/>
    <w:lvl w:ilvl="0" w:tplc="84461BA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525E7"/>
    <w:multiLevelType w:val="hybridMultilevel"/>
    <w:tmpl w:val="760E905A"/>
    <w:lvl w:ilvl="0" w:tplc="DF5C682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A0BE5"/>
    <w:multiLevelType w:val="hybridMultilevel"/>
    <w:tmpl w:val="7FE02ED2"/>
    <w:lvl w:ilvl="0" w:tplc="1C9CF17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375C6"/>
    <w:multiLevelType w:val="hybridMultilevel"/>
    <w:tmpl w:val="F1EC72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643364"/>
    <w:multiLevelType w:val="hybridMultilevel"/>
    <w:tmpl w:val="9350D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10791"/>
    <w:multiLevelType w:val="hybridMultilevel"/>
    <w:tmpl w:val="FE36EA5E"/>
    <w:lvl w:ilvl="0" w:tplc="1C9CF1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F682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C0583C"/>
    <w:multiLevelType w:val="hybridMultilevel"/>
    <w:tmpl w:val="7512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87797"/>
    <w:multiLevelType w:val="hybridMultilevel"/>
    <w:tmpl w:val="F3602B2C"/>
    <w:lvl w:ilvl="0" w:tplc="6B1ED7B6">
      <w:start w:val="30"/>
      <w:numFmt w:val="bullet"/>
      <w:lvlText w:val="-"/>
      <w:lvlJc w:val="left"/>
      <w:pPr>
        <w:ind w:left="360" w:hanging="360"/>
      </w:pPr>
      <w:rPr>
        <w:rFonts w:ascii="Calibri" w:eastAsia="Times New Roman" w:hAnsi="Calibri" w:cs="Calibri" w:hint="default"/>
      </w:rPr>
    </w:lvl>
    <w:lvl w:ilvl="1" w:tplc="29BC6E2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D6123"/>
    <w:multiLevelType w:val="hybridMultilevel"/>
    <w:tmpl w:val="794E16CC"/>
    <w:lvl w:ilvl="0" w:tplc="F8B28F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425A7"/>
    <w:multiLevelType w:val="hybridMultilevel"/>
    <w:tmpl w:val="4BB4C9AE"/>
    <w:lvl w:ilvl="0" w:tplc="1C9CF1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A45D0"/>
    <w:multiLevelType w:val="hybridMultilevel"/>
    <w:tmpl w:val="02249D16"/>
    <w:lvl w:ilvl="0" w:tplc="BB926312">
      <w:start w:val="1"/>
      <w:numFmt w:val="bullet"/>
      <w:lvlText w:val="•"/>
      <w:lvlJc w:val="left"/>
      <w:pPr>
        <w:tabs>
          <w:tab w:val="num" w:pos="360"/>
        </w:tabs>
        <w:ind w:left="360" w:hanging="360"/>
      </w:pPr>
      <w:rPr>
        <w:rFonts w:ascii="Arial" w:hAnsi="Arial" w:hint="default"/>
      </w:rPr>
    </w:lvl>
    <w:lvl w:ilvl="1" w:tplc="373079DE" w:tentative="1">
      <w:start w:val="1"/>
      <w:numFmt w:val="bullet"/>
      <w:lvlText w:val="•"/>
      <w:lvlJc w:val="left"/>
      <w:pPr>
        <w:tabs>
          <w:tab w:val="num" w:pos="1080"/>
        </w:tabs>
        <w:ind w:left="1080" w:hanging="360"/>
      </w:pPr>
      <w:rPr>
        <w:rFonts w:ascii="Arial" w:hAnsi="Arial" w:hint="default"/>
      </w:rPr>
    </w:lvl>
    <w:lvl w:ilvl="2" w:tplc="C2F24420" w:tentative="1">
      <w:start w:val="1"/>
      <w:numFmt w:val="bullet"/>
      <w:lvlText w:val="•"/>
      <w:lvlJc w:val="left"/>
      <w:pPr>
        <w:tabs>
          <w:tab w:val="num" w:pos="1800"/>
        </w:tabs>
        <w:ind w:left="1800" w:hanging="360"/>
      </w:pPr>
      <w:rPr>
        <w:rFonts w:ascii="Arial" w:hAnsi="Arial" w:hint="default"/>
      </w:rPr>
    </w:lvl>
    <w:lvl w:ilvl="3" w:tplc="FD92746A" w:tentative="1">
      <w:start w:val="1"/>
      <w:numFmt w:val="bullet"/>
      <w:lvlText w:val="•"/>
      <w:lvlJc w:val="left"/>
      <w:pPr>
        <w:tabs>
          <w:tab w:val="num" w:pos="2520"/>
        </w:tabs>
        <w:ind w:left="2520" w:hanging="360"/>
      </w:pPr>
      <w:rPr>
        <w:rFonts w:ascii="Arial" w:hAnsi="Arial" w:hint="default"/>
      </w:rPr>
    </w:lvl>
    <w:lvl w:ilvl="4" w:tplc="75B4FA92" w:tentative="1">
      <w:start w:val="1"/>
      <w:numFmt w:val="bullet"/>
      <w:lvlText w:val="•"/>
      <w:lvlJc w:val="left"/>
      <w:pPr>
        <w:tabs>
          <w:tab w:val="num" w:pos="3240"/>
        </w:tabs>
        <w:ind w:left="3240" w:hanging="360"/>
      </w:pPr>
      <w:rPr>
        <w:rFonts w:ascii="Arial" w:hAnsi="Arial" w:hint="default"/>
      </w:rPr>
    </w:lvl>
    <w:lvl w:ilvl="5" w:tplc="78CC8FAA" w:tentative="1">
      <w:start w:val="1"/>
      <w:numFmt w:val="bullet"/>
      <w:lvlText w:val="•"/>
      <w:lvlJc w:val="left"/>
      <w:pPr>
        <w:tabs>
          <w:tab w:val="num" w:pos="3960"/>
        </w:tabs>
        <w:ind w:left="3960" w:hanging="360"/>
      </w:pPr>
      <w:rPr>
        <w:rFonts w:ascii="Arial" w:hAnsi="Arial" w:hint="default"/>
      </w:rPr>
    </w:lvl>
    <w:lvl w:ilvl="6" w:tplc="FE6E735E" w:tentative="1">
      <w:start w:val="1"/>
      <w:numFmt w:val="bullet"/>
      <w:lvlText w:val="•"/>
      <w:lvlJc w:val="left"/>
      <w:pPr>
        <w:tabs>
          <w:tab w:val="num" w:pos="4680"/>
        </w:tabs>
        <w:ind w:left="4680" w:hanging="360"/>
      </w:pPr>
      <w:rPr>
        <w:rFonts w:ascii="Arial" w:hAnsi="Arial" w:hint="default"/>
      </w:rPr>
    </w:lvl>
    <w:lvl w:ilvl="7" w:tplc="5260C764" w:tentative="1">
      <w:start w:val="1"/>
      <w:numFmt w:val="bullet"/>
      <w:lvlText w:val="•"/>
      <w:lvlJc w:val="left"/>
      <w:pPr>
        <w:tabs>
          <w:tab w:val="num" w:pos="5400"/>
        </w:tabs>
        <w:ind w:left="5400" w:hanging="360"/>
      </w:pPr>
      <w:rPr>
        <w:rFonts w:ascii="Arial" w:hAnsi="Arial" w:hint="default"/>
      </w:rPr>
    </w:lvl>
    <w:lvl w:ilvl="8" w:tplc="E20EEFE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5C92C2A"/>
    <w:multiLevelType w:val="hybridMultilevel"/>
    <w:tmpl w:val="E0607A74"/>
    <w:lvl w:ilvl="0" w:tplc="F10AC40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5671F4"/>
    <w:multiLevelType w:val="hybridMultilevel"/>
    <w:tmpl w:val="CBA88B9E"/>
    <w:lvl w:ilvl="0" w:tplc="CB285CB6">
      <w:start w:val="1"/>
      <w:numFmt w:val="bullet"/>
      <w:lvlText w:val="•"/>
      <w:lvlJc w:val="left"/>
      <w:pPr>
        <w:tabs>
          <w:tab w:val="num" w:pos="360"/>
        </w:tabs>
        <w:ind w:left="360" w:hanging="360"/>
      </w:pPr>
      <w:rPr>
        <w:rFonts w:ascii="Arial" w:hAnsi="Arial" w:hint="default"/>
      </w:rPr>
    </w:lvl>
    <w:lvl w:ilvl="1" w:tplc="3064D0A0" w:tentative="1">
      <w:start w:val="1"/>
      <w:numFmt w:val="bullet"/>
      <w:lvlText w:val="•"/>
      <w:lvlJc w:val="left"/>
      <w:pPr>
        <w:tabs>
          <w:tab w:val="num" w:pos="1080"/>
        </w:tabs>
        <w:ind w:left="1080" w:hanging="360"/>
      </w:pPr>
      <w:rPr>
        <w:rFonts w:ascii="Arial" w:hAnsi="Arial" w:hint="default"/>
      </w:rPr>
    </w:lvl>
    <w:lvl w:ilvl="2" w:tplc="42F0696C" w:tentative="1">
      <w:start w:val="1"/>
      <w:numFmt w:val="bullet"/>
      <w:lvlText w:val="•"/>
      <w:lvlJc w:val="left"/>
      <w:pPr>
        <w:tabs>
          <w:tab w:val="num" w:pos="1800"/>
        </w:tabs>
        <w:ind w:left="1800" w:hanging="360"/>
      </w:pPr>
      <w:rPr>
        <w:rFonts w:ascii="Arial" w:hAnsi="Arial" w:hint="default"/>
      </w:rPr>
    </w:lvl>
    <w:lvl w:ilvl="3" w:tplc="E070EEAA" w:tentative="1">
      <w:start w:val="1"/>
      <w:numFmt w:val="bullet"/>
      <w:lvlText w:val="•"/>
      <w:lvlJc w:val="left"/>
      <w:pPr>
        <w:tabs>
          <w:tab w:val="num" w:pos="2520"/>
        </w:tabs>
        <w:ind w:left="2520" w:hanging="360"/>
      </w:pPr>
      <w:rPr>
        <w:rFonts w:ascii="Arial" w:hAnsi="Arial" w:hint="default"/>
      </w:rPr>
    </w:lvl>
    <w:lvl w:ilvl="4" w:tplc="9D4AC8CC" w:tentative="1">
      <w:start w:val="1"/>
      <w:numFmt w:val="bullet"/>
      <w:lvlText w:val="•"/>
      <w:lvlJc w:val="left"/>
      <w:pPr>
        <w:tabs>
          <w:tab w:val="num" w:pos="3240"/>
        </w:tabs>
        <w:ind w:left="3240" w:hanging="360"/>
      </w:pPr>
      <w:rPr>
        <w:rFonts w:ascii="Arial" w:hAnsi="Arial" w:hint="default"/>
      </w:rPr>
    </w:lvl>
    <w:lvl w:ilvl="5" w:tplc="F5AEDAC6" w:tentative="1">
      <w:start w:val="1"/>
      <w:numFmt w:val="bullet"/>
      <w:lvlText w:val="•"/>
      <w:lvlJc w:val="left"/>
      <w:pPr>
        <w:tabs>
          <w:tab w:val="num" w:pos="3960"/>
        </w:tabs>
        <w:ind w:left="3960" w:hanging="360"/>
      </w:pPr>
      <w:rPr>
        <w:rFonts w:ascii="Arial" w:hAnsi="Arial" w:hint="default"/>
      </w:rPr>
    </w:lvl>
    <w:lvl w:ilvl="6" w:tplc="8D8EF038" w:tentative="1">
      <w:start w:val="1"/>
      <w:numFmt w:val="bullet"/>
      <w:lvlText w:val="•"/>
      <w:lvlJc w:val="left"/>
      <w:pPr>
        <w:tabs>
          <w:tab w:val="num" w:pos="4680"/>
        </w:tabs>
        <w:ind w:left="4680" w:hanging="360"/>
      </w:pPr>
      <w:rPr>
        <w:rFonts w:ascii="Arial" w:hAnsi="Arial" w:hint="default"/>
      </w:rPr>
    </w:lvl>
    <w:lvl w:ilvl="7" w:tplc="27682078" w:tentative="1">
      <w:start w:val="1"/>
      <w:numFmt w:val="bullet"/>
      <w:lvlText w:val="•"/>
      <w:lvlJc w:val="left"/>
      <w:pPr>
        <w:tabs>
          <w:tab w:val="num" w:pos="5400"/>
        </w:tabs>
        <w:ind w:left="5400" w:hanging="360"/>
      </w:pPr>
      <w:rPr>
        <w:rFonts w:ascii="Arial" w:hAnsi="Arial" w:hint="default"/>
      </w:rPr>
    </w:lvl>
    <w:lvl w:ilvl="8" w:tplc="195AF04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F8B799D"/>
    <w:multiLevelType w:val="hybridMultilevel"/>
    <w:tmpl w:val="81F280A0"/>
    <w:lvl w:ilvl="0" w:tplc="EFD8B6A2">
      <w:start w:val="1"/>
      <w:numFmt w:val="bullet"/>
      <w:lvlText w:val="•"/>
      <w:lvlJc w:val="left"/>
      <w:pPr>
        <w:tabs>
          <w:tab w:val="num" w:pos="360"/>
        </w:tabs>
        <w:ind w:left="360" w:hanging="360"/>
      </w:pPr>
      <w:rPr>
        <w:rFonts w:ascii="Arial" w:hAnsi="Arial" w:hint="default"/>
      </w:rPr>
    </w:lvl>
    <w:lvl w:ilvl="1" w:tplc="F56CECFE" w:tentative="1">
      <w:start w:val="1"/>
      <w:numFmt w:val="bullet"/>
      <w:lvlText w:val="•"/>
      <w:lvlJc w:val="left"/>
      <w:pPr>
        <w:tabs>
          <w:tab w:val="num" w:pos="1080"/>
        </w:tabs>
        <w:ind w:left="1080" w:hanging="360"/>
      </w:pPr>
      <w:rPr>
        <w:rFonts w:ascii="Arial" w:hAnsi="Arial" w:hint="default"/>
      </w:rPr>
    </w:lvl>
    <w:lvl w:ilvl="2" w:tplc="66B6AEB0" w:tentative="1">
      <w:start w:val="1"/>
      <w:numFmt w:val="bullet"/>
      <w:lvlText w:val="•"/>
      <w:lvlJc w:val="left"/>
      <w:pPr>
        <w:tabs>
          <w:tab w:val="num" w:pos="1800"/>
        </w:tabs>
        <w:ind w:left="1800" w:hanging="360"/>
      </w:pPr>
      <w:rPr>
        <w:rFonts w:ascii="Arial" w:hAnsi="Arial" w:hint="default"/>
      </w:rPr>
    </w:lvl>
    <w:lvl w:ilvl="3" w:tplc="3272915C" w:tentative="1">
      <w:start w:val="1"/>
      <w:numFmt w:val="bullet"/>
      <w:lvlText w:val="•"/>
      <w:lvlJc w:val="left"/>
      <w:pPr>
        <w:tabs>
          <w:tab w:val="num" w:pos="2520"/>
        </w:tabs>
        <w:ind w:left="2520" w:hanging="360"/>
      </w:pPr>
      <w:rPr>
        <w:rFonts w:ascii="Arial" w:hAnsi="Arial" w:hint="default"/>
      </w:rPr>
    </w:lvl>
    <w:lvl w:ilvl="4" w:tplc="0D8E6EE6" w:tentative="1">
      <w:start w:val="1"/>
      <w:numFmt w:val="bullet"/>
      <w:lvlText w:val="•"/>
      <w:lvlJc w:val="left"/>
      <w:pPr>
        <w:tabs>
          <w:tab w:val="num" w:pos="3240"/>
        </w:tabs>
        <w:ind w:left="3240" w:hanging="360"/>
      </w:pPr>
      <w:rPr>
        <w:rFonts w:ascii="Arial" w:hAnsi="Arial" w:hint="default"/>
      </w:rPr>
    </w:lvl>
    <w:lvl w:ilvl="5" w:tplc="E5BE33BC" w:tentative="1">
      <w:start w:val="1"/>
      <w:numFmt w:val="bullet"/>
      <w:lvlText w:val="•"/>
      <w:lvlJc w:val="left"/>
      <w:pPr>
        <w:tabs>
          <w:tab w:val="num" w:pos="3960"/>
        </w:tabs>
        <w:ind w:left="3960" w:hanging="360"/>
      </w:pPr>
      <w:rPr>
        <w:rFonts w:ascii="Arial" w:hAnsi="Arial" w:hint="default"/>
      </w:rPr>
    </w:lvl>
    <w:lvl w:ilvl="6" w:tplc="1C3C68EC" w:tentative="1">
      <w:start w:val="1"/>
      <w:numFmt w:val="bullet"/>
      <w:lvlText w:val="•"/>
      <w:lvlJc w:val="left"/>
      <w:pPr>
        <w:tabs>
          <w:tab w:val="num" w:pos="4680"/>
        </w:tabs>
        <w:ind w:left="4680" w:hanging="360"/>
      </w:pPr>
      <w:rPr>
        <w:rFonts w:ascii="Arial" w:hAnsi="Arial" w:hint="default"/>
      </w:rPr>
    </w:lvl>
    <w:lvl w:ilvl="7" w:tplc="B0DA4842" w:tentative="1">
      <w:start w:val="1"/>
      <w:numFmt w:val="bullet"/>
      <w:lvlText w:val="•"/>
      <w:lvlJc w:val="left"/>
      <w:pPr>
        <w:tabs>
          <w:tab w:val="num" w:pos="5400"/>
        </w:tabs>
        <w:ind w:left="5400" w:hanging="360"/>
      </w:pPr>
      <w:rPr>
        <w:rFonts w:ascii="Arial" w:hAnsi="Arial" w:hint="default"/>
      </w:rPr>
    </w:lvl>
    <w:lvl w:ilvl="8" w:tplc="9ABCA21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13146D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1263AB"/>
    <w:multiLevelType w:val="hybridMultilevel"/>
    <w:tmpl w:val="CFA46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F3939"/>
    <w:multiLevelType w:val="hybridMultilevel"/>
    <w:tmpl w:val="8E6EB10E"/>
    <w:lvl w:ilvl="0" w:tplc="ADA2B7F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C541B"/>
    <w:multiLevelType w:val="hybridMultilevel"/>
    <w:tmpl w:val="96C6D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11"/>
  </w:num>
  <w:num w:numId="5">
    <w:abstractNumId w:val="14"/>
  </w:num>
  <w:num w:numId="6">
    <w:abstractNumId w:val="20"/>
  </w:num>
  <w:num w:numId="7">
    <w:abstractNumId w:val="10"/>
  </w:num>
  <w:num w:numId="8">
    <w:abstractNumId w:val="3"/>
  </w:num>
  <w:num w:numId="9">
    <w:abstractNumId w:val="7"/>
  </w:num>
  <w:num w:numId="10">
    <w:abstractNumId w:val="21"/>
  </w:num>
  <w:num w:numId="11">
    <w:abstractNumId w:val="5"/>
  </w:num>
  <w:num w:numId="12">
    <w:abstractNumId w:val="13"/>
  </w:num>
  <w:num w:numId="13">
    <w:abstractNumId w:val="0"/>
  </w:num>
  <w:num w:numId="14">
    <w:abstractNumId w:val="18"/>
  </w:num>
  <w:num w:numId="15">
    <w:abstractNumId w:val="1"/>
  </w:num>
  <w:num w:numId="16">
    <w:abstractNumId w:val="19"/>
  </w:num>
  <w:num w:numId="17">
    <w:abstractNumId w:val="22"/>
  </w:num>
  <w:num w:numId="18">
    <w:abstractNumId w:val="8"/>
  </w:num>
  <w:num w:numId="19">
    <w:abstractNumId w:val="4"/>
  </w:num>
  <w:num w:numId="20">
    <w:abstractNumId w:val="23"/>
  </w:num>
  <w:num w:numId="21">
    <w:abstractNumId w:val="9"/>
  </w:num>
  <w:num w:numId="22">
    <w:abstractNumId w:val="12"/>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EA"/>
    <w:rsid w:val="00022A8F"/>
    <w:rsid w:val="00023811"/>
    <w:rsid w:val="0003065E"/>
    <w:rsid w:val="00031A2E"/>
    <w:rsid w:val="0003289E"/>
    <w:rsid w:val="00053945"/>
    <w:rsid w:val="000559FF"/>
    <w:rsid w:val="00070560"/>
    <w:rsid w:val="00084ED4"/>
    <w:rsid w:val="00091CEF"/>
    <w:rsid w:val="00093098"/>
    <w:rsid w:val="000B1A03"/>
    <w:rsid w:val="000B1EE7"/>
    <w:rsid w:val="000B2408"/>
    <w:rsid w:val="000B3CBE"/>
    <w:rsid w:val="000C0847"/>
    <w:rsid w:val="000C3FD1"/>
    <w:rsid w:val="000D3E2F"/>
    <w:rsid w:val="000D6005"/>
    <w:rsid w:val="000D62DF"/>
    <w:rsid w:val="000D64C7"/>
    <w:rsid w:val="00101929"/>
    <w:rsid w:val="001024EC"/>
    <w:rsid w:val="0010681C"/>
    <w:rsid w:val="00111246"/>
    <w:rsid w:val="00116FAE"/>
    <w:rsid w:val="00117939"/>
    <w:rsid w:val="00120BF4"/>
    <w:rsid w:val="00125450"/>
    <w:rsid w:val="00132553"/>
    <w:rsid w:val="00135101"/>
    <w:rsid w:val="00150B89"/>
    <w:rsid w:val="00157765"/>
    <w:rsid w:val="00163255"/>
    <w:rsid w:val="0017284E"/>
    <w:rsid w:val="0017406A"/>
    <w:rsid w:val="00174AB4"/>
    <w:rsid w:val="00187F9A"/>
    <w:rsid w:val="001948FE"/>
    <w:rsid w:val="00195B26"/>
    <w:rsid w:val="001A17C9"/>
    <w:rsid w:val="001A3B7D"/>
    <w:rsid w:val="001B59BF"/>
    <w:rsid w:val="001C2844"/>
    <w:rsid w:val="001C77B8"/>
    <w:rsid w:val="001D57F1"/>
    <w:rsid w:val="001D6A8D"/>
    <w:rsid w:val="001D7141"/>
    <w:rsid w:val="001E57F0"/>
    <w:rsid w:val="001F5C76"/>
    <w:rsid w:val="00212D04"/>
    <w:rsid w:val="00231D80"/>
    <w:rsid w:val="002332EA"/>
    <w:rsid w:val="002357DE"/>
    <w:rsid w:val="00236C22"/>
    <w:rsid w:val="00243B70"/>
    <w:rsid w:val="00251F69"/>
    <w:rsid w:val="00254CAC"/>
    <w:rsid w:val="002569F0"/>
    <w:rsid w:val="00256AC2"/>
    <w:rsid w:val="002677D2"/>
    <w:rsid w:val="002701AC"/>
    <w:rsid w:val="00281AAA"/>
    <w:rsid w:val="00285291"/>
    <w:rsid w:val="002953BD"/>
    <w:rsid w:val="002A7B16"/>
    <w:rsid w:val="002B2147"/>
    <w:rsid w:val="002B7C27"/>
    <w:rsid w:val="002C1FE7"/>
    <w:rsid w:val="002C62F5"/>
    <w:rsid w:val="002D0CE0"/>
    <w:rsid w:val="002D58DB"/>
    <w:rsid w:val="002D5FFA"/>
    <w:rsid w:val="002D661E"/>
    <w:rsid w:val="002D6A06"/>
    <w:rsid w:val="002E1F12"/>
    <w:rsid w:val="002E34E2"/>
    <w:rsid w:val="002E5040"/>
    <w:rsid w:val="00302588"/>
    <w:rsid w:val="00325EB5"/>
    <w:rsid w:val="0034142B"/>
    <w:rsid w:val="003416EF"/>
    <w:rsid w:val="00341B69"/>
    <w:rsid w:val="003437F6"/>
    <w:rsid w:val="00344617"/>
    <w:rsid w:val="003501EF"/>
    <w:rsid w:val="003520FD"/>
    <w:rsid w:val="003544D3"/>
    <w:rsid w:val="00354E5A"/>
    <w:rsid w:val="00371384"/>
    <w:rsid w:val="003767A0"/>
    <w:rsid w:val="00380975"/>
    <w:rsid w:val="00383898"/>
    <w:rsid w:val="003902C4"/>
    <w:rsid w:val="00390329"/>
    <w:rsid w:val="003921DA"/>
    <w:rsid w:val="003B1182"/>
    <w:rsid w:val="003B1964"/>
    <w:rsid w:val="003B1E6D"/>
    <w:rsid w:val="003B5B8C"/>
    <w:rsid w:val="003C1855"/>
    <w:rsid w:val="003E7971"/>
    <w:rsid w:val="003F0DB0"/>
    <w:rsid w:val="00402C89"/>
    <w:rsid w:val="00403DA2"/>
    <w:rsid w:val="004048EA"/>
    <w:rsid w:val="00410150"/>
    <w:rsid w:val="00410D5B"/>
    <w:rsid w:val="00411A06"/>
    <w:rsid w:val="00413668"/>
    <w:rsid w:val="00434017"/>
    <w:rsid w:val="00435024"/>
    <w:rsid w:val="00437FC5"/>
    <w:rsid w:val="0044015D"/>
    <w:rsid w:val="00441744"/>
    <w:rsid w:val="00442974"/>
    <w:rsid w:val="004522BB"/>
    <w:rsid w:val="004539AD"/>
    <w:rsid w:val="004808AF"/>
    <w:rsid w:val="00482A3E"/>
    <w:rsid w:val="004919EF"/>
    <w:rsid w:val="004930E1"/>
    <w:rsid w:val="00493BAB"/>
    <w:rsid w:val="004A3B02"/>
    <w:rsid w:val="004A4522"/>
    <w:rsid w:val="004C060E"/>
    <w:rsid w:val="004C0C08"/>
    <w:rsid w:val="004C0C1C"/>
    <w:rsid w:val="004C2BDF"/>
    <w:rsid w:val="004D0CBD"/>
    <w:rsid w:val="004D5FE8"/>
    <w:rsid w:val="004E1E93"/>
    <w:rsid w:val="004F3BD3"/>
    <w:rsid w:val="004F6F4F"/>
    <w:rsid w:val="00501941"/>
    <w:rsid w:val="005100EB"/>
    <w:rsid w:val="00524996"/>
    <w:rsid w:val="005311B4"/>
    <w:rsid w:val="005377B4"/>
    <w:rsid w:val="00547557"/>
    <w:rsid w:val="005615F7"/>
    <w:rsid w:val="00564C2A"/>
    <w:rsid w:val="005701C4"/>
    <w:rsid w:val="00577612"/>
    <w:rsid w:val="00587AAE"/>
    <w:rsid w:val="00590208"/>
    <w:rsid w:val="005A5213"/>
    <w:rsid w:val="005B68A5"/>
    <w:rsid w:val="005C7724"/>
    <w:rsid w:val="005D3D01"/>
    <w:rsid w:val="005F2DB9"/>
    <w:rsid w:val="005F4F28"/>
    <w:rsid w:val="006112FE"/>
    <w:rsid w:val="00615EA4"/>
    <w:rsid w:val="006178C8"/>
    <w:rsid w:val="00624937"/>
    <w:rsid w:val="00631C2C"/>
    <w:rsid w:val="0064217D"/>
    <w:rsid w:val="0065404D"/>
    <w:rsid w:val="00655374"/>
    <w:rsid w:val="00667C09"/>
    <w:rsid w:val="00672CCE"/>
    <w:rsid w:val="006747C1"/>
    <w:rsid w:val="00676481"/>
    <w:rsid w:val="0067714B"/>
    <w:rsid w:val="006933D0"/>
    <w:rsid w:val="006A2E55"/>
    <w:rsid w:val="006A3BD6"/>
    <w:rsid w:val="006A4E6C"/>
    <w:rsid w:val="006B1081"/>
    <w:rsid w:val="006B5CCD"/>
    <w:rsid w:val="006B7A64"/>
    <w:rsid w:val="006C0B63"/>
    <w:rsid w:val="006E05CB"/>
    <w:rsid w:val="006E7E66"/>
    <w:rsid w:val="00706849"/>
    <w:rsid w:val="00712F8D"/>
    <w:rsid w:val="00715210"/>
    <w:rsid w:val="0073138D"/>
    <w:rsid w:val="00751086"/>
    <w:rsid w:val="00754EA3"/>
    <w:rsid w:val="0077789E"/>
    <w:rsid w:val="0079128C"/>
    <w:rsid w:val="00793739"/>
    <w:rsid w:val="00796FBA"/>
    <w:rsid w:val="007A1236"/>
    <w:rsid w:val="007A2AAF"/>
    <w:rsid w:val="007B4AF6"/>
    <w:rsid w:val="007B774F"/>
    <w:rsid w:val="007C0812"/>
    <w:rsid w:val="007C081B"/>
    <w:rsid w:val="007C41F7"/>
    <w:rsid w:val="007C430D"/>
    <w:rsid w:val="007E0E79"/>
    <w:rsid w:val="007E411D"/>
    <w:rsid w:val="007E7375"/>
    <w:rsid w:val="007F09BB"/>
    <w:rsid w:val="007F42C5"/>
    <w:rsid w:val="007F4620"/>
    <w:rsid w:val="007F6B48"/>
    <w:rsid w:val="007F7C7C"/>
    <w:rsid w:val="008053F5"/>
    <w:rsid w:val="00806989"/>
    <w:rsid w:val="00807CCD"/>
    <w:rsid w:val="0081003E"/>
    <w:rsid w:val="00814B3F"/>
    <w:rsid w:val="008238BB"/>
    <w:rsid w:val="008254DB"/>
    <w:rsid w:val="00830359"/>
    <w:rsid w:val="00831802"/>
    <w:rsid w:val="008542DE"/>
    <w:rsid w:val="00857979"/>
    <w:rsid w:val="00857F94"/>
    <w:rsid w:val="00871D1D"/>
    <w:rsid w:val="00874CC3"/>
    <w:rsid w:val="00883970"/>
    <w:rsid w:val="00896554"/>
    <w:rsid w:val="008A3003"/>
    <w:rsid w:val="008A3071"/>
    <w:rsid w:val="008A7BA3"/>
    <w:rsid w:val="008B5C69"/>
    <w:rsid w:val="008C09A0"/>
    <w:rsid w:val="008C1AB0"/>
    <w:rsid w:val="008C755E"/>
    <w:rsid w:val="008D1A55"/>
    <w:rsid w:val="008D5795"/>
    <w:rsid w:val="008D638E"/>
    <w:rsid w:val="008E191E"/>
    <w:rsid w:val="008E6C5C"/>
    <w:rsid w:val="008E7E8D"/>
    <w:rsid w:val="008F1849"/>
    <w:rsid w:val="008F293A"/>
    <w:rsid w:val="008F3156"/>
    <w:rsid w:val="008F672A"/>
    <w:rsid w:val="00901CC5"/>
    <w:rsid w:val="00907D32"/>
    <w:rsid w:val="00942D1C"/>
    <w:rsid w:val="00951CE5"/>
    <w:rsid w:val="009541B7"/>
    <w:rsid w:val="00963E46"/>
    <w:rsid w:val="009670CF"/>
    <w:rsid w:val="009806A0"/>
    <w:rsid w:val="009828D7"/>
    <w:rsid w:val="00994961"/>
    <w:rsid w:val="009A551E"/>
    <w:rsid w:val="009C3C3B"/>
    <w:rsid w:val="009C4ACE"/>
    <w:rsid w:val="009C52C7"/>
    <w:rsid w:val="009D095F"/>
    <w:rsid w:val="009D2F00"/>
    <w:rsid w:val="009D31B2"/>
    <w:rsid w:val="009E013F"/>
    <w:rsid w:val="009E12F9"/>
    <w:rsid w:val="009E3BEE"/>
    <w:rsid w:val="009E597F"/>
    <w:rsid w:val="009E6070"/>
    <w:rsid w:val="00A0507C"/>
    <w:rsid w:val="00A10365"/>
    <w:rsid w:val="00A254E5"/>
    <w:rsid w:val="00A2630B"/>
    <w:rsid w:val="00A357AE"/>
    <w:rsid w:val="00A511DB"/>
    <w:rsid w:val="00A53344"/>
    <w:rsid w:val="00A55E5F"/>
    <w:rsid w:val="00A62B56"/>
    <w:rsid w:val="00A64DDB"/>
    <w:rsid w:val="00A6779A"/>
    <w:rsid w:val="00A710BF"/>
    <w:rsid w:val="00A71668"/>
    <w:rsid w:val="00A7709A"/>
    <w:rsid w:val="00A8492B"/>
    <w:rsid w:val="00A87F62"/>
    <w:rsid w:val="00A90DC7"/>
    <w:rsid w:val="00A92621"/>
    <w:rsid w:val="00AA0CD4"/>
    <w:rsid w:val="00AA3E9A"/>
    <w:rsid w:val="00AC1271"/>
    <w:rsid w:val="00AC3399"/>
    <w:rsid w:val="00AC5431"/>
    <w:rsid w:val="00AD0CEE"/>
    <w:rsid w:val="00AD4191"/>
    <w:rsid w:val="00AE0923"/>
    <w:rsid w:val="00AF01FA"/>
    <w:rsid w:val="00AF578F"/>
    <w:rsid w:val="00B00EE6"/>
    <w:rsid w:val="00B02E4F"/>
    <w:rsid w:val="00B07BE8"/>
    <w:rsid w:val="00B156FE"/>
    <w:rsid w:val="00B16049"/>
    <w:rsid w:val="00B16858"/>
    <w:rsid w:val="00B664A5"/>
    <w:rsid w:val="00B72D9F"/>
    <w:rsid w:val="00B739D8"/>
    <w:rsid w:val="00B77299"/>
    <w:rsid w:val="00B8060F"/>
    <w:rsid w:val="00B83196"/>
    <w:rsid w:val="00B928BA"/>
    <w:rsid w:val="00B93FA3"/>
    <w:rsid w:val="00BB2F33"/>
    <w:rsid w:val="00BC74BA"/>
    <w:rsid w:val="00BC781F"/>
    <w:rsid w:val="00BE2973"/>
    <w:rsid w:val="00BE358F"/>
    <w:rsid w:val="00C0099E"/>
    <w:rsid w:val="00C03D0E"/>
    <w:rsid w:val="00C077C6"/>
    <w:rsid w:val="00C25353"/>
    <w:rsid w:val="00C27E93"/>
    <w:rsid w:val="00C3204A"/>
    <w:rsid w:val="00C36222"/>
    <w:rsid w:val="00C414A8"/>
    <w:rsid w:val="00C414AC"/>
    <w:rsid w:val="00C41C5B"/>
    <w:rsid w:val="00C435B0"/>
    <w:rsid w:val="00C51054"/>
    <w:rsid w:val="00C5139B"/>
    <w:rsid w:val="00C513E5"/>
    <w:rsid w:val="00C533EA"/>
    <w:rsid w:val="00C53A78"/>
    <w:rsid w:val="00C53F9F"/>
    <w:rsid w:val="00C55EBF"/>
    <w:rsid w:val="00C6101F"/>
    <w:rsid w:val="00C77C70"/>
    <w:rsid w:val="00C81730"/>
    <w:rsid w:val="00C84CB8"/>
    <w:rsid w:val="00C85D82"/>
    <w:rsid w:val="00C902E0"/>
    <w:rsid w:val="00CB5F33"/>
    <w:rsid w:val="00CD750A"/>
    <w:rsid w:val="00CE54C5"/>
    <w:rsid w:val="00D04B23"/>
    <w:rsid w:val="00D04D6C"/>
    <w:rsid w:val="00D132B6"/>
    <w:rsid w:val="00D17574"/>
    <w:rsid w:val="00D21A8F"/>
    <w:rsid w:val="00D24C69"/>
    <w:rsid w:val="00D26EB6"/>
    <w:rsid w:val="00D55467"/>
    <w:rsid w:val="00D656A5"/>
    <w:rsid w:val="00D72C64"/>
    <w:rsid w:val="00D7601D"/>
    <w:rsid w:val="00D938AC"/>
    <w:rsid w:val="00DA1EE8"/>
    <w:rsid w:val="00DC4548"/>
    <w:rsid w:val="00DD2106"/>
    <w:rsid w:val="00DE19C5"/>
    <w:rsid w:val="00DF178A"/>
    <w:rsid w:val="00E00A3C"/>
    <w:rsid w:val="00E14ADA"/>
    <w:rsid w:val="00E276D7"/>
    <w:rsid w:val="00E40FF5"/>
    <w:rsid w:val="00E418DF"/>
    <w:rsid w:val="00E448EB"/>
    <w:rsid w:val="00E44A8E"/>
    <w:rsid w:val="00E50D86"/>
    <w:rsid w:val="00E57B28"/>
    <w:rsid w:val="00E60525"/>
    <w:rsid w:val="00E64FC3"/>
    <w:rsid w:val="00E71E43"/>
    <w:rsid w:val="00E75E99"/>
    <w:rsid w:val="00E8062A"/>
    <w:rsid w:val="00E93D90"/>
    <w:rsid w:val="00EA15A0"/>
    <w:rsid w:val="00EA19E7"/>
    <w:rsid w:val="00EB4EA8"/>
    <w:rsid w:val="00EC1566"/>
    <w:rsid w:val="00EC57F2"/>
    <w:rsid w:val="00EE1A9E"/>
    <w:rsid w:val="00EE2F6B"/>
    <w:rsid w:val="00EF39B1"/>
    <w:rsid w:val="00F00359"/>
    <w:rsid w:val="00F14402"/>
    <w:rsid w:val="00F24A2C"/>
    <w:rsid w:val="00F47897"/>
    <w:rsid w:val="00F52846"/>
    <w:rsid w:val="00F537E1"/>
    <w:rsid w:val="00F64588"/>
    <w:rsid w:val="00F70C50"/>
    <w:rsid w:val="00F74F8F"/>
    <w:rsid w:val="00F75AF9"/>
    <w:rsid w:val="00F764BA"/>
    <w:rsid w:val="00F84CB4"/>
    <w:rsid w:val="00F94C59"/>
    <w:rsid w:val="00FA6BCB"/>
    <w:rsid w:val="00FA6C6B"/>
    <w:rsid w:val="00FA7493"/>
    <w:rsid w:val="00FB015D"/>
    <w:rsid w:val="00FB64A7"/>
    <w:rsid w:val="00FC5B21"/>
    <w:rsid w:val="00FC64BA"/>
    <w:rsid w:val="00FC6662"/>
    <w:rsid w:val="00FD28BB"/>
    <w:rsid w:val="00FD2A85"/>
    <w:rsid w:val="00FD515D"/>
    <w:rsid w:val="00FD7374"/>
    <w:rsid w:val="00FF0568"/>
    <w:rsid w:val="00FF3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194438"/>
  <w15:chartTrackingRefBased/>
  <w15:docId w15:val="{14F47D6F-CA9F-4EC0-A91A-DA2DB0C1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3EA"/>
  </w:style>
  <w:style w:type="paragraph" w:styleId="Heading1">
    <w:name w:val="heading 1"/>
    <w:basedOn w:val="Normal"/>
    <w:link w:val="Heading1Char"/>
    <w:uiPriority w:val="9"/>
    <w:qFormat/>
    <w:rsid w:val="00A35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B831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91"/>
    <w:pPr>
      <w:ind w:left="720"/>
      <w:contextualSpacing/>
    </w:pPr>
  </w:style>
  <w:style w:type="character" w:customStyle="1" w:styleId="Heading1Char">
    <w:name w:val="Heading 1 Char"/>
    <w:basedOn w:val="DefaultParagraphFont"/>
    <w:link w:val="Heading1"/>
    <w:uiPriority w:val="9"/>
    <w:rsid w:val="00A357AE"/>
    <w:rPr>
      <w:rFonts w:ascii="Times New Roman" w:eastAsia="Times New Roman" w:hAnsi="Times New Roman" w:cs="Times New Roman"/>
      <w:b/>
      <w:bCs/>
      <w:kern w:val="36"/>
      <w:sz w:val="48"/>
      <w:szCs w:val="48"/>
      <w:lang w:eastAsia="fr-FR"/>
    </w:rPr>
  </w:style>
  <w:style w:type="character" w:customStyle="1" w:styleId="def">
    <w:name w:val="def"/>
    <w:basedOn w:val="DefaultParagraphFont"/>
    <w:rsid w:val="00A357AE"/>
  </w:style>
  <w:style w:type="paragraph" w:styleId="Header">
    <w:name w:val="header"/>
    <w:basedOn w:val="Normal"/>
    <w:link w:val="HeaderChar"/>
    <w:uiPriority w:val="99"/>
    <w:unhideWhenUsed/>
    <w:rsid w:val="006764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6481"/>
  </w:style>
  <w:style w:type="paragraph" w:styleId="Footer">
    <w:name w:val="footer"/>
    <w:basedOn w:val="Normal"/>
    <w:link w:val="FooterChar"/>
    <w:uiPriority w:val="99"/>
    <w:unhideWhenUsed/>
    <w:rsid w:val="006764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6481"/>
  </w:style>
  <w:style w:type="table" w:styleId="TableGrid">
    <w:name w:val="Table Grid"/>
    <w:basedOn w:val="TableNormal"/>
    <w:uiPriority w:val="59"/>
    <w:rsid w:val="00C4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319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8319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83196"/>
    <w:pPr>
      <w:spacing w:after="100"/>
    </w:pPr>
  </w:style>
  <w:style w:type="paragraph" w:styleId="TOC2">
    <w:name w:val="toc 2"/>
    <w:basedOn w:val="Normal"/>
    <w:next w:val="Normal"/>
    <w:autoRedefine/>
    <w:uiPriority w:val="39"/>
    <w:unhideWhenUsed/>
    <w:rsid w:val="00712F8D"/>
    <w:pPr>
      <w:tabs>
        <w:tab w:val="left" w:pos="880"/>
        <w:tab w:val="right" w:leader="dot" w:pos="10054"/>
      </w:tabs>
      <w:spacing w:after="0"/>
      <w:ind w:left="220"/>
    </w:pPr>
  </w:style>
  <w:style w:type="paragraph" w:styleId="TOC3">
    <w:name w:val="toc 3"/>
    <w:basedOn w:val="Normal"/>
    <w:next w:val="Normal"/>
    <w:autoRedefine/>
    <w:uiPriority w:val="39"/>
    <w:unhideWhenUsed/>
    <w:rsid w:val="00B83196"/>
    <w:pPr>
      <w:spacing w:after="100"/>
      <w:ind w:left="440"/>
    </w:pPr>
  </w:style>
  <w:style w:type="character" w:styleId="Hyperlink">
    <w:name w:val="Hyperlink"/>
    <w:basedOn w:val="DefaultParagraphFont"/>
    <w:uiPriority w:val="99"/>
    <w:unhideWhenUsed/>
    <w:rsid w:val="00B83196"/>
    <w:rPr>
      <w:color w:val="0563C1" w:themeColor="hyperlink"/>
      <w:u w:val="single"/>
    </w:rPr>
  </w:style>
  <w:style w:type="character" w:styleId="CommentReference">
    <w:name w:val="annotation reference"/>
    <w:basedOn w:val="DefaultParagraphFont"/>
    <w:uiPriority w:val="99"/>
    <w:semiHidden/>
    <w:unhideWhenUsed/>
    <w:rsid w:val="00807CCD"/>
    <w:rPr>
      <w:sz w:val="16"/>
      <w:szCs w:val="16"/>
    </w:rPr>
  </w:style>
  <w:style w:type="paragraph" w:styleId="CommentText">
    <w:name w:val="annotation text"/>
    <w:basedOn w:val="Normal"/>
    <w:link w:val="CommentTextChar"/>
    <w:uiPriority w:val="99"/>
    <w:unhideWhenUsed/>
    <w:rsid w:val="00807CCD"/>
    <w:pPr>
      <w:spacing w:line="240" w:lineRule="auto"/>
    </w:pPr>
    <w:rPr>
      <w:sz w:val="20"/>
      <w:szCs w:val="20"/>
    </w:rPr>
  </w:style>
  <w:style w:type="character" w:customStyle="1" w:styleId="CommentTextChar">
    <w:name w:val="Comment Text Char"/>
    <w:basedOn w:val="DefaultParagraphFont"/>
    <w:link w:val="CommentText"/>
    <w:uiPriority w:val="99"/>
    <w:rsid w:val="00807CCD"/>
    <w:rPr>
      <w:sz w:val="20"/>
      <w:szCs w:val="20"/>
    </w:rPr>
  </w:style>
  <w:style w:type="paragraph" w:styleId="CommentSubject">
    <w:name w:val="annotation subject"/>
    <w:basedOn w:val="CommentText"/>
    <w:next w:val="CommentText"/>
    <w:link w:val="CommentSubjectChar"/>
    <w:uiPriority w:val="99"/>
    <w:semiHidden/>
    <w:unhideWhenUsed/>
    <w:rsid w:val="00807CCD"/>
    <w:rPr>
      <w:b/>
      <w:bCs/>
    </w:rPr>
  </w:style>
  <w:style w:type="character" w:customStyle="1" w:styleId="CommentSubjectChar">
    <w:name w:val="Comment Subject Char"/>
    <w:basedOn w:val="CommentTextChar"/>
    <w:link w:val="CommentSubject"/>
    <w:uiPriority w:val="99"/>
    <w:semiHidden/>
    <w:rsid w:val="00807CCD"/>
    <w:rPr>
      <w:b/>
      <w:bCs/>
      <w:sz w:val="20"/>
      <w:szCs w:val="20"/>
    </w:rPr>
  </w:style>
  <w:style w:type="paragraph" w:styleId="BalloonText">
    <w:name w:val="Balloon Text"/>
    <w:basedOn w:val="Normal"/>
    <w:link w:val="BalloonTextChar"/>
    <w:uiPriority w:val="99"/>
    <w:semiHidden/>
    <w:unhideWhenUsed/>
    <w:rsid w:val="00807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CD"/>
    <w:rPr>
      <w:rFonts w:ascii="Segoe UI" w:hAnsi="Segoe UI" w:cs="Segoe UI"/>
      <w:sz w:val="18"/>
      <w:szCs w:val="18"/>
    </w:rPr>
  </w:style>
  <w:style w:type="paragraph" w:styleId="FootnoteText">
    <w:name w:val="footnote text"/>
    <w:aliases w:val="ft,single space,footnote text"/>
    <w:basedOn w:val="Normal"/>
    <w:link w:val="FootnoteTextChar"/>
    <w:uiPriority w:val="99"/>
    <w:unhideWhenUsed/>
    <w:rsid w:val="00435024"/>
    <w:pPr>
      <w:spacing w:after="0" w:line="240" w:lineRule="auto"/>
    </w:pPr>
    <w:rPr>
      <w:sz w:val="20"/>
      <w:szCs w:val="20"/>
    </w:rPr>
  </w:style>
  <w:style w:type="character" w:customStyle="1" w:styleId="FootnoteTextChar">
    <w:name w:val="Footnote Text Char"/>
    <w:aliases w:val="ft Char,single space Char,footnote text Char"/>
    <w:basedOn w:val="DefaultParagraphFont"/>
    <w:link w:val="FootnoteText"/>
    <w:uiPriority w:val="99"/>
    <w:rsid w:val="00435024"/>
    <w:rPr>
      <w:sz w:val="20"/>
      <w:szCs w:val="20"/>
    </w:rPr>
  </w:style>
  <w:style w:type="character" w:styleId="FootnoteReference">
    <w:name w:val="footnote reference"/>
    <w:aliases w:val="Appel note de bas de page"/>
    <w:basedOn w:val="DefaultParagraphFont"/>
    <w:uiPriority w:val="99"/>
    <w:unhideWhenUsed/>
    <w:rsid w:val="00435024"/>
    <w:rPr>
      <w:vertAlign w:val="superscript"/>
    </w:rPr>
  </w:style>
  <w:style w:type="character" w:customStyle="1" w:styleId="shorttext">
    <w:name w:val="short_text"/>
    <w:basedOn w:val="DefaultParagraphFont"/>
    <w:rsid w:val="001024EC"/>
  </w:style>
  <w:style w:type="paragraph" w:customStyle="1" w:styleId="Default">
    <w:name w:val="Default"/>
    <w:rsid w:val="002D5FFA"/>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E00A3C"/>
    <w:pPr>
      <w:spacing w:after="200" w:line="240" w:lineRule="auto"/>
    </w:pPr>
    <w:rPr>
      <w:i/>
      <w:iCs/>
      <w:color w:val="44546A" w:themeColor="text2"/>
      <w:sz w:val="18"/>
      <w:szCs w:val="18"/>
    </w:rPr>
  </w:style>
  <w:style w:type="character" w:customStyle="1" w:styleId="s16">
    <w:name w:val="s16"/>
    <w:basedOn w:val="DefaultParagraphFont"/>
    <w:rsid w:val="00383898"/>
  </w:style>
  <w:style w:type="character" w:styleId="FollowedHyperlink">
    <w:name w:val="FollowedHyperlink"/>
    <w:basedOn w:val="DefaultParagraphFont"/>
    <w:uiPriority w:val="99"/>
    <w:semiHidden/>
    <w:unhideWhenUsed/>
    <w:rsid w:val="00A511DB"/>
    <w:rPr>
      <w:color w:val="954F72" w:themeColor="followedHyperlink"/>
      <w:u w:val="single"/>
    </w:rPr>
  </w:style>
  <w:style w:type="character" w:styleId="UnresolvedMention">
    <w:name w:val="Unresolved Mention"/>
    <w:basedOn w:val="DefaultParagraphFont"/>
    <w:uiPriority w:val="99"/>
    <w:semiHidden/>
    <w:unhideWhenUsed/>
    <w:rsid w:val="001B59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rehumanitarianstandard.org/the-standard" TargetMode="External"/><Relationship Id="rId1" Type="http://schemas.openxmlformats.org/officeDocument/2006/relationships/hyperlink" Target="https://interagencystandingcommittee.org/grand-bargain-hosted-iasc/documents/final-participation-revolution-work-stream-recommend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BEBD-DBF1-4DB3-B43B-E8461424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5511</Words>
  <Characters>31417</Characters>
  <Application>Microsoft Office Word</Application>
  <DocSecurity>0</DocSecurity>
  <Lines>261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Bonaventure Sokpoh</dc:creator>
  <cp:keywords/>
  <dc:description/>
  <cp:lastModifiedBy>Kate HALFF</cp:lastModifiedBy>
  <cp:revision>22</cp:revision>
  <cp:lastPrinted>2017-10-09T14:42:00Z</cp:lastPrinted>
  <dcterms:created xsi:type="dcterms:W3CDTF">2017-10-16T10:58:00Z</dcterms:created>
  <dcterms:modified xsi:type="dcterms:W3CDTF">2017-10-26T14:58:00Z</dcterms:modified>
</cp:coreProperties>
</file>